
<file path=[Content_Types].xml><?xml version="1.0" encoding="utf-8"?>
<Types xmlns="http://schemas.openxmlformats.org/package/2006/content-types">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Target="docProps/app.xml" Type="http://schemas.openxmlformats.org/officeDocument/2006/relationships/extended-properties" Id="rId1"/><Relationship Target="docProps/core.xml" Type="http://schemas.openxmlformats.org/package/2006/relationships/metadata/core-properties" Id="rId2"/><Relationship Target="docProps/custom.xml" Type="http://schemas.openxmlformats.org/officeDocument/2006/relationships/custom-properties" Id="rId3"/><Relationship Target="word/document.xml" Type="http://schemas.openxmlformats.org/officeDocument/2006/relationships/officeDocument" Id="rId4"/></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Default="00000000" w:rsidR="00000000" w:rsidRPr="00000000" w:rsidDel="00000000">
      <w:pPr>
        <w:contextualSpacing w:val="0"/>
        <w:spacing w:before="180" w:beforeAutospacing="0"/>
        <w:spacing w:lineRule="auto" w:line="240"/>
        <w:pBdr/>
      </w:pPr>
      <w:r w:rsidR="00000000" w:rsidRPr="00000000" w:rsidDel="00000000">
        <w:rPr>
          <w:rtl w:val="0"/>
        </w:rPr>
        <w:t xml:space="preserve"/>
      </w:r>
      <w:r w:rsidR="00000000" w:rsidRPr="00000000" w:rsidDel="00000000">
        <w:rPr>
          <w:sz w:val="32"/>
          <w:b w:val="1"/>
          <w:rtl w:val="0"/>
        </w:rPr>
        <w:t xml:space="preserve">1. Tiesību akta projekta izstrādes nepieciešamība</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Anotācijas (ex-ante) nosaukums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Tiesību akta projekta "Eiropas Savienības Atveseļošanas un noturības mehānisma plāna 2.4. reformu un investīciju virziena "Digitālās infrastruktūras transformācija'' 2.4.1.2.i. investīcijas ''Platjoslas jeb ļoti augstas veiktspējas tīklu ''pēdējās jūdzes'' infrastruktūras attīstība" īstenošanas noteikumi" sākotnējās ietekmes (ex-ante) novērtējuma ziņojums (anotācija)</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1.1. Pamatojums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Izstrādes pamatojums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Tiesību akts / Ministru Prezidenta rezolūcija</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Tiesību akta projekts ''Eiropas Savienības Atveseļošanas un noturības mehānisma plāna 2.4. reformu un investīciju virziena ''Digitālās infrastruktūras transformācija'' 2.4.1.2.i. investīcijas ''Platjoslas jeb ļoti augstas veiktspējas tīklu ''pēdējās jūdzes'' infrastruktūras attīstība'' īstenošanas (turpmāk – Ministru kabineta noteikumu projekts) izstrādāts, pamatojoties uz likuma par budžetu un finanšu vadību 19.</w:t>
      </w:r>
      <w:r w:rsidR="00000000" w:rsidRPr="00000000" w:rsidDel="00000000">
        <w:rPr>
          <w:vertAlign w:val="superscript"/>
          <w:rtl w:val="0"/>
        </w:rPr>
        <w:t xml:space="preserve">3</w:t>
      </w:r>
      <w:r w:rsidR="00000000" w:rsidRPr="00000000" w:rsidDel="00000000">
        <w:rPr>
          <w:rtl w:val="0"/>
        </w:rPr>
        <w:t xml:space="preserve"> panta otro daļu, un paredz nodrošināt atbalstu tehnoloģiski neitrālu pieslēgumu, kas atbalsta ilgtspējīgu nākamās paaudzes fiksēto, bezvadu un pavadoņu sakaru savienojamību, ierīkošanu elektronisko sakaru pakalpojumu pieejamības nodrošināšanai galalietotājiem (''pēdējā jūdze''), lai veicinātu elektronisko sakaru pakalpojumu atbilstību Eiropas Savienības un nacionālajiem stratēģiskajiem savienojamības mērķiem.</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1.2. Mērķis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Mērķa 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Ministru kabineta noteikumu projekta mērķis ir veikt ieguldījumus tehnoloģiski neitrālu pieslēgumu, kas atbalsta ilgtspējīgu nākamās paaudzes fiksēto, bezvadu un pavadoņu sakaru savienojamību, ierīkošana elektronisko sakaru pakalpojumu pieejamības nodrošināšanai galalietotājiem (''pēdējā jūdze''), lai veicinātu elektronisko sakaru pakalpojumu atbilstību Eiropas Savienības un nacionālajiem stratēģiskajiem savienojamības mērķiem. </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Spēkā stāšanās termiņš</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Jebkādi citi nosacījumi (atrunāti tiesību aktā)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Pamatojums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Ministru kabineta noteikumi stājas spēkā nākamajā dienā pēc tam, kad Latvijas Republikas oficiālajā izdevumā ''Latvijas Vēstnesis'' publicēts paziņojums par to, ka Eiropas Komisija pieņēmusi lēmumu par šajos noteikumos paredzētā komercdarbības atbalsta saderību ar Eiropas Savienības iekšējo tirgu.  </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1.3. Pašreizējā situācija, problēmas un risinājumi</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Pašreizējā situācija</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Valsts atbalsta pasākums ir saskaņā ar savienojamības mērķiem ''Paziņojumā par Gigabitu sabiedrību''[1], paziņojumā ''Eiropas digitālās nākotnes veidošana''[2], paziņojumā par ''digitālo kompasu''[3] un Eiropas Parlamenta un Padomes lēmumu (ES) 2022/2481 (2022. gada 14. decembris), ar ko izveido politikas programmu “Digitālās desmitgades ceļš” 2030. gadam [4], tieši vērsts uz ES stratēģisko mērķu sasniegšanu 2025. gadam un 2030. gadam, kas paredz visām Eiropas mājsaimniecībām piekļuvi interneta savienojamībai, kas nodrošina vismaz 100 Mb/s, kā arī gigabitu savienojamību visiem galvenajiem sociālekonomiskajiem virzītājspēkiem, piemēram, izglītības iestādēm, transporta mezgliem un galvenajiem sabiedrisko pakalpojumu sniedzējiem, kā arī uzņēmumiem, kas intensīvi izmanto digitālos resursus.</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[1] Komisijas 2016. gada 14. septembra paziņojums Eiropas Parlamentam, Padomei, Eiropas Ekonomikas un sociālo lietu komitejai un Reģionu komitejai "Konkurētspējīga digitālā vienotā tirgus savienojamība. Virzība uz Eiropas Gigabitu sabiedrību" (COM(2016) 587 final). Pieejams šeit: https://eur-lex.europa.eu/legal-content/LV/TXT/?uri=CELEX%3A52016DC0587</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 Komisijas 2020. gada 19. februāra paziņojums Eiropas Parlamentam, Padomei, Eiropas Ekonomikas un sociālo lietu komitejai un Reģionu komitejai "Eiropas digitālās nākotnes veidošana" (COM(2020) 67 final). Pieejams šeit: https://eur-lex.europa.eu/legal-content/LV/TXT/?uri=CELEX%3A52020DC0067</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[3] Komisijas 2021. gada 9. marta paziņojums Eiropas Parlamentam, Padomei, Eiropas Ekonomikas un sociālo lietu komitejai un Reģionu komitejai "Digitālais kompass līdz 2030. gadam – Eiropas ceļam digitālajā gadu desmitā" (COM(2021) 118 final). Pieejams šeit: https://eur-lex.europa.eu/legal-content/LV/TXT/?uri=CELEX%3A52021DC0118</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[4] Eiropas Parlamenta un Padomes lēmums (ES) 2022/2481 (2022. gada 14. decembris), ar ko izveido politikas programmu “Digitālās desmitgades ceļš” 2030. gadam. Pieejams šeit: Pieejama šeit: htps://eur-lex.eurtopa.eu/legal-content/LV/TXT/?uri=CELEX:32022D2481</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Problēmas un risinājumi</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Problēmas 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Pēc Satiksmes ministrijas pasūtījuma 2020.gadā tika veikts pētījums "Pētījums Eiropas Savienības fondu 2021.-2027. gada plānošanas perioda ieguldījumu priekšnosacījumu izpildei" [5] (turpmāk - pētījums), kura mērķis bija  izpētīt elektronisko sakaru tīklu infrastruktūras un elektronisko sakaru pakalpojumu kvalitātes atbilstību Savienojamības paziņojuma mērķiem, sagatavojot esošās un plānotās platjoslas piekļuves pakalpojumu pieejamības un infrastruktūras kartējumu un, veicot analīzi par piemērotāko intervences modeli. Pēc pētījuma rezultātiem secināms, ka, vērtējot reģionālajā dalījumā, teritorijās ārpus lielākajām pilsētām, ieskaitot tām pieguļošās teritorijās, trūkst ''vidējās jūdzes'' un ''pēdējās jūdzes'' infrastruktūras, kas spētu nodrošināt Savienojamības paziņojuma mērķiem atbilstošus interneta piekļuves pakalpojumus galalietotājiem. Tīklu izbūves dārdzības dēļ elektronisko sakaru komersantiem nav pietiekošas ekonomiskās iniciatīvas izvērst ļoti augstas veiktspējas elektronisko sakaru tīklus. Pētījumā konstatēts, ka valsts atbalsta programmas Nr.SA.33324 (2011/N) "Nākamās paaudzes tīkli lauku teritorijās" projekta ietvaros izbūvēto infrastruktūru operatori izmanto, galvenokārt, vietās, kur jau vēsturiski tiem ir bijusi izveidota infrastruktūra "pēdējās jūdzes" risinājumiem, paaugstinot savu pakalpojumu kvalitāti.</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Saskaņā ar pētījuma rezultātiem: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1) ļoti augstas veiktspējas (VHC – very high capacity networks) tīkli ar augšupielādes un lejupielādes datu pārraides ātrumu vismaz 100Mbit/s pieejami tikai apmēram 1,6% valsts teritoriju (lielajās pilsētās un apdzīvotajās vietās), taču tajās dzīvo 70,1% iedzīvotāju.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 tā kā šīs teritorijas, kur VHC tīkla pakalpojumi ir pieejami, ir pilsētas un lielākās apdzīvotās vietas, valstī ir ļoti lielas pilsētu un lauku teritoriju atšķirības platjoslas tīklu pārklājuma ziņā. Šī situācija nav apmierinoša un ir jāuzlabo, lai gan tā ir objektīvi saistīta ar zemu iedzīvotāju vidējo apdzīvotības blīvumu valstī, t.i., vēsturiski lielu iedzīvotāju koncentrāciju Rīgas areālā un reģionālajos centros, kā arī ar aktīvu migrāciju no lauku teritorijām uz šiem centriem vai uz ārvalstīm.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3) mobilo sakaru tīkli ir pieejami apmēram 90% valsts teritorijas un tajās dzīvo apmēram 97,7% iedzīvotāju. Praktisko mobilo sakaru tīkla ātrdarbību var novērtēt, balstoties uz Sabiedrisko pakalpojumu regulēšanas komisijas (turpmāk - SPRK) regulāri veiktajiem mērījumiem. Atbilstoši SPRK 2019.gada mērījumiem61, pieslēguma ātruma vidējās vērtības 4G datu pārraides tehnoloģijā 2019.gadā Latvijā bija 36,6 Mbit/s lejupielādei un 19,15 Mbit/s augšupielādei. Tādējādi var uzskatīt, ka valstī ir nodrošināts labs mobilās interneta piekļuves pārklājums ar vidējo datu pārraides ātrumu ap 30 Mbit/s. Taču vienlaicīgi lejupielādes ātrums virs 30 Mbit/s ir bijis tikai 64% no mērījumu, kas veikti dažādās vietās valstī. SPRK atzīmē, ka, lai gan kopumā pakalpojuma pieejamība valstī ir laba, tomēr atsevišķos mērījumos novērotas augšupielādes ātruma vērtības, kas ir zemākas pat par 256 Kbit/s, un šādās teritorijās pakalpojuma pieejamība elektroniskajā vidē var būt būtiski traucēta.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4) teritorijas, kurās šobrīd nav pieejami platjoslas piekļuves pakalpojumi ar datu pārraides ātrumu vismaz 100 Mbit/s (VHC tīklu baltās teritorijas) veido visa Latvijas valsts teritorija, izņemot tās teritorijas, kurās ir piekļuve platjoslas optiskajam tīklam, aptver 98,4% no visas Latvijas valsts teritorijas, kur dzīvo 577,95 tūkst. iedzīvotāji jeb 30,3%.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Attiecībā uz platjoslas pakalpojumu mazumtirdzniecības cenu analīzi, secināts, ka: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 tā kā visi 3 valsts mobilo sakaru operatori savus pakalpojumus piedāvā visā valstī, to cenas visur ir līdzvērtīgas. Operatoru konkurence nodrošina galalietotājiem pieejamas cenas, kas sākas no apmēram 10 EUR mēnesī un iekļauj interneta piekļuves pakalpojumu ar vidējo datu pārraides ātrumu aptuveni 30Mbit/s.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b) arī fiksēto platjoslas piekļuves pakalpojumu mazumtirdzniecības cenas dažādās vietās valstī, kur šādi pakalpojumi ir pieejami, ir ļoti līdzīgas, jo lielākais pakalpojumu sniedzējs piedāvā savus pakalpojumus par vienādām cenām visā valstī un pārējiem tirgus spēlētājiem ir jākonkurē ar līdzīgām cenām. Šīs cenas sākas no apmēram 15 EUR mēnesī par pakalpojumu ar augšupielādes un lejupielādes 100 Mbit/s datu pārraides ātrumu. Te jāņem vērā, ka fiksētie platjoslas pakalpojumi ar ātrumu virs 100Mbit/s reāli ir pieejami tikai pilsētās un lielākajās apdzīvotās vietās.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c) jaunu optisko tīklu pieslēgumu ierīkošana individuāliem klientiem tālu no ''vidējās jūdzes'' tīklu pieslēguma punktiem prasa lielas investīcijas. Lai tās veiktu, pakalpojumu sniedzēji bieži prasa klientu finansiālu līdzdalību, tāpēc efektīvās VHC platjoslas pakalpojumu izmaksas mazstāvu apbūves teritorijās un mazās apdzīvotās vietās var būt augstas un bieži nepieejamas.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d) tirgus nepilnība valstī nav saistīta ar platjoslas pakalpojumu mazumtirdzniecības cenām dažādās teritorijās, bet gan ar pieejamajiem tehnoloģiskajiem risinājumiem un platjoslas tīklu infrastruktūras attīstības nepieciešamību.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[5] "Pētījums Eiropas Savienības fondu 2021.-2027. gada plānošanas perioda ieguldījumu priekšnosacījumu izpildei" rezultātiem. (Pieejams šeit: https://www.sam.gov.lv/lv/petijumi#petijums-eiropas-savienibas-fondu-2021-2027-gada-planosanas-perioda-ieguldijumu-prieksnosacijumu-izpildei)</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Risinājuma 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Pirms 2.4.1.2.i. investīcijas īstenošanas uzsākšanas nozares ministrija informē Eiropas Komisiju saskaņā ar Eiropas Komisijas Regulu 2023/1315, ar kuru groza Regulu (ES) Nr. 651/2014, ar ko noteiktas atbalsta kategorijas atzīst par saderīgām ar iekšējo tirgu, piemērojot Līguma 107. un 108. pantu, un Regulu (ES) 2022/2473, ar kuru, piemērojot Līguma 107. un 108. pantu, dažu kategoriju atbalstu uzņēmumiem, kas nodarbojas ar zvejas un akvakultūras produktu ražošanu, apstrādi un tirdzniecību, atzīst par saderīgu ar iekšējo tirgu.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Anotācijas pielikumā pievienots Satiksmes ministrijas izvērtējums par “Platjoslas jeb ļoti augstas veiktspējas tīklu “pēdējās jūdzes” infrastruktūras attīstība” investīciju atbilstību Eiropas Komisijas 2023. gada 23. jūnijs regulas Nr.  2023/1315, ar kuru groza Regulu (ES) Nr. 651/2014, ar ko noteiktas atbalsta kategorijas atzīst par saderīgām ar iekšējo tirgu, piemērojot Līguma 107. un 108. pantu, un Regulu (ES) 2022/2473, ar kuru, piemērojot Līguma 107. un 108. pantu, dažu kategoriju atbalstu uzņēmumiem, kas nodarbojas ar zvejas un akvakultūras produktu ražošanu, apstrādi un tirdzniecību, atzīst par saderīgu ar iekšējo tirgu (turpmāk - regula Nr. 651/2014) 52. pantam.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Attiecībā uz Komisijas regulas Nr. 651/2014 52 c panta "Savienotības vaučeri" piemērošanu, skaidrojam, ka, ņemot vērā politikas plānošanas dokumentā “Elektronisko sakaru nozares attīstības plānā 2021. - 2027. gadam iekļauto”, kas tika izstrādāts, balstoties uz pētījuma rezultātiem, un, ņemot vērā pieejamo finansējumu, šobrīd netiek plānota kuponu (vaučeru”) izmantošana. Ņemot vērā šī pētījuma rezultātus, secināts, ka savienojamības vaučeru piemērošanai būtu vajadzīgi ievērojami vairāk resursu, salīdzinot ar citiem modeļiem, kā rezultātā detāli pētījumā šis modelis netiek apskatīts. Vienlaikus pirmšķietami secināms, ka Latvijas situācijā to piemērošana ir ierobežota, ņemot vērā, ka kuponus neizsniedz teritorijām, kur nav tīkla, kas sniedz atbilstošos pakalpojumus, kā arī attiecināmas ir tikai ikmēneša maksa 2 gadiem, standarta uzstādīšanas izmaksas un galalietotājiem nepieciešamās termināļa iekārtas platjoslas pakalpojumu izmantošanai, kā arī nepieciešams 50% līdzfinansējums. Līdz ar to atbalsts faktiski nav attiecināms uz “pēdējās jūdzes”  tīkla izvēršanu, bet gan pēc būtības ir pieprasījuma veicināšanas pasākums. Vienlaikus jāmin, ka Latvijā lietotāju skaits, kas izmanto arvien ātrākus interneta ātrumus ikgadēji paaugstinās, līdz ar to šobrīd šī nebūtu primāri risināmā problēma, bet gan lauku teritoriju “pēdējās jūdzes”  tīkla izvēršana, lai nodrošinātu gala lietotājam atbilstošu interneta pakalpojuma kvalitāti par maksu, kas būtu līdzvērtīga pilsētās.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Vienlaikus norādāms, ka, ņemot vērā, ka nozares plāns paredz 2024.gadā  izvērtēt platjoslas attīstībai nepieciešamo investīciju apjomu un iesniegt valdībā informatīvo ziņojumu par finansējuma piesaistes risinājumiem, plānots izvērtēt atbilstošāko risinājumu, tostarp kuponu izmantošanu.</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Ar mērķi uzraudzīt valsts atbalsta nosacījumus ir izveidota Subsidēto elektronisko sakaru tīklu uzraudzības komiteja. Tās galvenie uzdevumi saistīti ar piekļuves tarifu (piekļuves jēdziens atbilstoši </w:t>
      </w:r>
      <w:r w:rsidR="00000000" w:rsidRPr="00000000" w:rsidDel="00000000">
        <w:rPr>
          <w:rtl w:val="0"/>
        </w:rPr>
        <w:t xml:space="preserve">Elektronisko sakaru likuma 1.panta 44. apakšpunktam), tostarp tā aprēķināšanas metodiku, un piekļuves nosacījumu apstiprināšanu projekta īstenošanas rezultātā izveidotajai infrastruktūrai, kā arī kā papildu formāts sabiedriskās apspriešanas nodrošināšanai, tas ir, bez tā, ka informācija publicēta Satiksmes ministrijas tīmekļa vietnē, tā tiek izskatīta Subsidēto elektronisko sakaru tīklu uzraudzības komitejā ar mērķi pievērst nozares pārstāvju papildu uzmanību un uzlabot sabiedriskās apspriešanas rezultātus, lai pieņemtu galējo lēmumu par sakaru tīklu ģeogrāfisko vietu. Līdz ar to komitejas sastāvā ir gan pašvaldību, gan nozares, gan uzņēmēju, gan patērētāju tiesību pārstāvji, kā arī Vides aizsardzības un reģionālās attīstības ministrijas pārstāvis, ņemot vērā tā kompetenci reģionālās attīstības plānošanas jomā. Padomdevēju tiesības ir SPRK un Konkurences padomes pārstāvjiem, ņemot vērā to kompetenci tarifu noteikšanas un konkurences jomā. Papildus kā ekspertu var pieaicināt arī Finanšu ministrijas pārstāvi, ņemot vērā tā kompetenci Atveseļošanas un noturības mehānisma (turpmāk – Atveseļošanas fonds) uzraudzībā.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Subsidēto elektronisko sakaru tīklu uzraudzības komiteja pēc institucionālās būtības ir līdzīga mehānismam, kas darbojas 2014. - 2020. gada plānošanas periodā, īstenojot "vidējās jūdzes" investīciju uzraudzību. Skaidrojam, ka SPRK pienākumos neietilpst tieši uzraudzīt valsts atbalsta sniegšanas regulēšanu, līdz ar to norma attiecībā uz pakalpojuma sniegšanas regulēšanu ir saskaņā ar Elektronisko sakaru likuma 9. panta 21. apakšpunktu, kas nosaka, ka Regulators "pēc Satiksmes ministrijas pieprasījuma konsultē par valsts atbalsta pasākumu mērķa teritorijām, sasniedzamajiem rezultātiem, vairumtirdzniecības piekļuves produktiem, subsidētās infrastruktūras piekļuves nosacījumiem un cenām."</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MK noteikumu projektā paredzēts, ka “Projekta ietvaros izveidotās pasīvās infrastruktūras amortizācijas periods ir 20 gadi un aktīvās infrastruktūras amortizācijas periods ir desmit gadi pēc tās nodošanas ekspluatācijā, un tās laikā finansējuma saņēmējs nodrošina projekta rezultātu ilgtspēju un elektronisko sakaru pakalpojumus galalietotājiem. Piekļuvi vismaz tādiem vairumtirdzniecības pakalpojumiem, kas iekļauti Sabiedrisko pakalpojuma regulēšanas komisijas izdotajos piekļuves pamatpiedāvājuma noteikumos un Eiropas Komisijas regulas Nr. 651/2014 2. panta 139. apakšpunktā nodrošina saskaņā ar regulas Nr. 651/2014 52. panta 8. punktu”. Izvēlētie termiņi pamatojami ar prasībām, ko nosaka Eiropas Komisijas regulas Nr. 651/2014 52. panta 8. punktu, kā arī iepriekšējo plānošanas perioda pieredzi līdzīgu investīciju projektu īstenošanā.</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Vispārīgi programmas nosacījumi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Atbalsta veids – grants.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Nozares ministrija – Satiksmes ministrija.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Atbalsta sniedzējs – Centrālā finanšu un līgumu aģentūra.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Atbalsta saņēmējs - elektronisko sakaru komersanti.</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2.4.1.2.i. investīcijas ietvaros sasniedzami rādītāji: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 līdz 2024. gada 31. decembrim 500 tādu mājsaimniecību, uzņēmumu, izglītības iestāžu, ārstniecības iestāžu un citu sabiedrisko ēku skaits, kam ir piekļuve platjoslas savienojumiem ar ļoti augstas veiktspējas tīklu (uzraudzības rādītājs);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 līdz 2025. gada 31. decembrim 1500 tādu mājsaimniecību, uzņēmumu, izglītības iestāžu, ārstniecības iestāžu un citu sabiedrisko ēku skaits, kam ir piekļuve platjoslas savienojumiem ar ļoti augstas veiktspējas tīklu (mērķis).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Savukārt, Atveseļošanas fonda plānā noteiktais rādītājs (atskaites punkts) - līdz 2021. gada 31. decembrim Satiksmes ministrijai nodrošināt vienota modeļa pieņemšanu ''pēdējās jūdzes'' attīstībai (atskaites punkts) - ir izpildīts. Noteiktā atskaites punkta sasniegšanu pamato dokuments, kurā aprakstīts, kā tika atbilstīgi izpildīts atskaites punkts (tostarp visi būtiskie elementi), iekļaujot šādus dokumentārus pierādījumus: Ministru kabineta lēmuma par vienoto ''pēdējās jūdzes'' attīstības modeli kopiju un saiti uz šo lēmumu, to pētījumu kopijas, kas ņemti par pamatu Elektronisko sakaru nozares attīstības plānam 2021.-2027.gadam, ziņojumu par Elektronisko sakaru nozares attīstības plāna 2021.-2027. gadam sabiedriskās apspriešanas rezultātiem un saiti uz šīs sabiedriskās apspriešanas dokumentiem.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Papildus nacionālajā līmenī ir noteikti šādi rādītāji reģionālajā sadalījumā:</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-līdz 2024. gada 31. decembrim mājsaimniecību, uzņēmumu, izglītības iestāžu, ārstniecības iestāžu un citu sabiedrisko ēku skaits, kam ir piekļuve platjoslas savienojumiem ar ļoti augstas veiktspējas tīklu 100 Latgales plānošanas reģionā, 100 Vidzemes plānošanas reģionā, 100 Rīgas plānošanas reģionā, 100 Zemgales plānošanas reģionā, 100 Kurzemes plānošanas reģionā;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līdz 2025. gada 31. decembrim mājsaimniecību, uzņēmumu, izglītības iestāžu, ārstniecību iestāžu un citu sabiedrisko ēku skaits, kam ir piekļuve platjoslas savienojumiem ar ļoti augstas veiktspējas tīklu, 300 Latgales plānošanas reģionā, 300 Vidzemes plānošanas reģionā, 300 Rīgas plānošanas reģionā, 300 Zemgales plānošanas reģionā, 300 Kurzemes plānošanas reģionā.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Mērķa grupa - 2.4.1.2.i. investīcijas mērķa grupa ir mājsaimniecības, uzņēmumi, izglītības iestādes (aptverot visas izglītības pakāpes un izglītības veidus saskaņā ar Izglītības likuma 5. un 6. pantu), ārstniecības iestādes un citas sabiedriskās ēkas.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2.4.1.2.i. investīcijas īstenošanai pieejamais Atveseļošanas fonda finansējums ir 4 000 000 euro.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2.4.1.2.i. investīcijas izmaksas ir ne vairāk kā 2667 EUR uz vienu mājsaimniecību vai uzņēmumu, izglītības iestādi, ārstniecības iestāžu un citu sabiedrisko ēku (adrešu) skaitu, kam nodrošināta piekļuve ļoti augstas veiktspējas tīklam, kas pamatojas uz 2020.gadā pēc Satiksmes ministrijas pasūtījuma veiktā pētījumu  ''Pētījums Eiropas Savienības fondu 2021.-2027. gada plānošanas perioda ieguldījumu priekšnosacījumu izpildei'', kur ir pieejami detalizēti aprēķini un pieņēmumi. Ņemot vērā šīs vienas vienības izmaksas, attiecīgi ir aprēķināti rādītāji, kas ir iekļauti Atveseļošanas fonda plānā.</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Atbalsta sniedzējs sadarbībā ar nozares ministriju konkursa kārtībā izvēlēsies projektu īstenotājus - elektronisko sakaru komersantus - atbilstoši šo MK noteikumu 1. pielikumā noteiktajiem kritērijiem.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Atbalstāmās darbības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2.4.1.2.i. investīcijas atbalstāmās darbības ir tehnoloģiski neitrālu pieslēgumu, kas atbalsta ilgtspējīgu nākamās paaudzes fiksēto, bezvadu vai pavadoņu sakaru savienojamību, ierīkošana elektronisko sakaru pakalpojumu pieejamības nodrošināšanai galalietotājiem (''pēdējā jūdze''), proti,: mājsaimniecībām interneta pieslēgumam, kas spēj nodrošināt lejupielādes ātrumu vismaz 300 Mbit/s un augšupielādes ātrumu vismaz 100 Mbit/s maksimumstundas apstākļos un ko var uzlabot līdz 1 Gbit/s ātrumam pēc pieprasījuma; piemēram, uzņēmumiem, kas intensīvi izmanto digitālos resursus, izglītības iestādēm, ārstniecības iestādēm un publiskās pārvaldes iestādēm, vajadzētu būt iespējai izmantot gigabitu savienojamību (lejupielādes un augšupielādes ātrums vismaz 1 Gbit/s).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Atbalsta darbības jomu teritoriālā pārklājuma ziņā veido visa Latvijas valsts teritorija, izņemot tās teritorijas, kurās ir piekļuve ļoti augstas veiktspējas tīklam, tas ir, 98.4% no visas Latvijas valsts teritorijas, savukārt, šajā teritorijā dzīvo 577 950 iedzīvotāju jeb 30.3%  Ņemot vērā plānošanas reģiona priekšlikumus, Satiksmes ministrija ir identificējusi objektus, kuros ir nepieciešams ļoti augstas veiktspējas tīkls. Daļa no objektiem projektu atlases nolikuma prasībās tiks noteikti kā obligāti ierīkojami, daļa – kā tādi, par kuriem var saņemt papildu punktus projektu atlases konkursā. Šie saraksti, tai skaitā objektu adreses, kas atrodas ļoti augstas veiktspējas tīkla baltajās teritorijās, no 22.08.2022. līdz 23.09.2022. tika nodots sabiedriskai apsiešanai: https://www.sam.gov.lv/lv/jaunums/sabiedriska-apspriesana-par-valsts-valsts-atbalsta-programmu-pedejas-judzes-elektronisko-sakaru-tiklu-infrastrukturas-attistisana. 2023. gadā Satiksmes ministrija plāno nodrošināt atkārtotu sabiedrisko apspriešanu, ņemot vērā nozares dinamisko attīstību, un gala redakcija tiks attiecīgi pievienota pie projektu atlases konkursa nolikuma. Gadījumos, kad pēc nolikuma, tai skaitā adrešu saraksta, publicēšanas, kļūs zināms, ka objektā ir ļoti augstas veiktspējas tīkls, konkrēto objektu var aizstāt ar citu. Detalizētākas atlases prasības ir šo MK noteikumu 1. pielikumā.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MK noteikumu projektā paredzēts finansējuma saņēmējam pienākums nodrošināt “projekta rezultātu ilgtspēju, tai skaitā, piekļuvi vismaz tādiem vairumtirdzniecības pakalpojumiem kā komersantam ar būtisku ietekmi tirgū, ko regulē piekļuves pamatpiedāvājuma noteikumi un mazumtirdzniecības pakalpojumus, divdesmit gadus pēc projekta beigām pasīvai infrastruktūrai un desmit gadus aktīvajai infrastruktūrai”, ņemot vērā:</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1) Eiropas Komisijas 2023. gada 31. janvāra paziņojuma “Pamatnostādnes par valsts atbalstu platjoslas tīkliem” (2023/C 36/01) 133. un 135. punktu.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 iepriekšējo plānošanas perioda pieredzi līdzīgu investīciju projektu īstenošanā.</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Finansējuma saņēmējam ir pienākums nodrošināt preču piegādātāju un pakalpojumu sniedzēju piesaisti atbilstoši normatīvajiem aktiem iepirkumu jomā, ievērojot atklātu, caurspīdīgu un vienlīdzīgu konkurenci nodrošinošu procedūru. Uz elektronisko sakaru komersantiem visbiežāk būs attiecināmi Ministru kabineta 2017. gada 28. februāra noteikumi Nr. 104 "Noteikumi par iepirkuma procedūru un tās piemērošanas kārtību pasūtītāja finansētiem projektiem". Elektronisko sakaru komersanti parasti nav sabiedrisko pakalpojumu sniedzēji Sabiedrisko pakalpojumu sniedzēju iepirkumu likuma izpratnē vai Publisko iepirkumu likumu izpratnē.</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Saskaņā ar MK noteikumu projektu s​​​timulējošās ietekmes nosacījumu nodrošināšanai atbalstu nedrīkst piešķirt jau uzsāktiem projektiem, ko vērtēs projektu atlasē. Vienlaikus nozares ministrija nodrošina, ka pirms projekta atlases procedūras uzsākšanas ir veikta sabiedriskā apspriešana ne vēlāk kā vienu gadu, kurā elektronisko sakaru komersantiem lūgts iesniegt pamatotu informāciju par to tīkliem, kuri atrodas vai kurus ticami plānots ierīkot mērķa teritorijā projekta īstenošanas laikā, publicējot informāciju Satiksmes ministrijas tīmekļa vietnē. Lai to nodrošinātu, laikā no 2022. gada 22. augusta līdz 2022. gada 23. septembrim atbilstoši</w:t>
      </w:r>
      <w:r w:rsidR="00000000" w:rsidRPr="00000000" w:rsidDel="00000000">
        <w:rPr>
          <w:b w:val="1"/>
          <w:rtl w:val="0"/>
        </w:rPr>
        <w:t xml:space="preserve"> </w:t>
      </w:r>
      <w:r w:rsidR="00000000" w:rsidRPr="00000000" w:rsidDel="00000000">
        <w:rPr>
          <w:rtl w:val="0"/>
        </w:rPr>
        <w:t xml:space="preserve">regulai Nr. 651/2014 tika nodrošinātas sabiedriskās apspriešanas prasības, t.sk. sabiedriskajā apspriešanā tika aicinātas ieinteresētās personas izteikt komentārus par pasākumu un iesniegt pamatotu informāciju par to tīkliem, kuri atrodas vai kurus ticami plānots ierīkot mērķa teritorijā attiecīgajā laikposmā, publicējot informāciju Satiksmes ministrijas tīmekļa vietnē. Papildus par plānoto sabiedrisko apspriešanu un pasākumu 2022. gada 31. augustā tika informācija sniegta Satiksmes ministrijas izveidotajā darba grupā valsts atbalsta programmu nosacījumu izstrādei, īstenošanai un uzraudzībai elektronisko sakaru tīklu, tostarp “pēdējās jūdzes” infrastruktūras attīstībai, kuru sastāvā ir arī nozares asociācijas.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Sabiedriskās apspriešanas laikā netika saņemti komentāri par valsts atbalsta pasākumu. Vienlaikus, ņemot vērā SIA “Tet” lūgumu par termiņa pagarinājumu, tika panākta vienošanās par kartēšanas datu aktualizāciju, kas arī ir veikta. Ņemot vērā nozares straujo attīstību, 2023. gadā Satiksmes ministrija veiks atkārtotu sabiedrisko apspriešanu un aktualizēs informāciju par elektronisko sakaru tīklu infrastruktūru un tās ierīkošanas plāniem, tai skaitā, īpašu uzmanību pievēršot saraksta aktualizācijai, kurā ietvertas konkrētu objektu adreses, kas ir projektā kā obligāti ierīkojamas vai par kuru ierīkošanu var saņemt papildu punktus projektu atlasē.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Izstrādātā valsts atbalsta programma tiks skaņota ar Eiropas Komisiju un tikai pēc tam, kad Latvijas Republikas oficiālajā izdevumā ''Latvijas Vēstnesis'' tiks publicēts paziņojums par to, ka Eiropas Komisija pieņēmusi lēmumu par šajos noteikumos paredzētā komercdarbības atbalsta saderību ar Eiropas Savienības iekšējo tirgu un Ministru kabineta noteikumi stāsies spēkā, tiks uzsākta projektu atlase.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Informāciju par  regulas Nr. 651/2014 52. panta ietvaros izsniegto atbalstu publicē atbilstoši Eiropas Komisijas  regulas Nr. 651/2014 9. panta 1. un 4. punktā noteiktajām publicitātes pasākumu prasībām saskaņā ar normatīvajiem aktiem par kārtību, kādā publicē informāciju par sniegto valsts atbalstu un piešķir un anulē elektroniskās sistēmas lietošanas tiesības.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Plānoti ieguldījumi indikatīvi var pārklāties ar Eiropas Reģionālā attīstības fonda atbalstāmajām darbībām. Lai nodrošinātu demarkāciju, apstiprinot projektus, tiks vērtēti objekti adrešu līmenī, ņemot vērā valsts atbalsta nosacījumus un salīdzinot pret iesniegtajiem projektiem, neatkarīgi no finansējuma avota.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Projekta iesniedzējam izvirzīta prasība, ka tas ir elektronisko sakaru komersants, kuram ir tiesības sniegt elektronisko sakaru pakalpojumus un nodrošināt elektronisko sakaru tīklu Latvijā un kurš iepriekšējo 3 (trīs) gadu laikā un kārtējā gadā līdz projekta iesniegšanas termiņa beigām ir nodrošinājis elektronisko sakaru tīkla izveidi vismaz 300 objektos (adresēs).Tas pamatojams ar to, ka MK noteikumu projektā atbalstāmās darbības ir tiesības veikt tikai elektronisko sakaru komersantiem, ievērojot normatīvo regulējumu sakaru nozarē. Uz 13.01.2023. ir SPRK reģistrā ir reģistrēti 218 elektronisko sakaru komersanti. Savukārt, prasība par pieredzi ir izvirzīta, ņemot vērā obligāti noteikto sasniedzamā rādītāja apmēru vienā projektā.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2.4.1.2.i. investīcijas attiecināmās izmaksas ir tieši attiecināmas uz Digitālo dimensiju, kas noteikta Eiropas Parlamenta un Padomes 2021. gada 12. februāra regulas Nr. 2021/241 ar ko izveido Atveseļošanas un noturības mehānismu 16.panta 2.punkta (b) daļas ii apakšpunktā (Digitālās dimensijas intervences kods: 053 - IKT: ļoti augstas ietilpības platjoslas tīkls (piekļuve/vietējā sakaru līnija, kuras veiktspēja ir līdzvērtīga optiskās šķiedras iekārtai līdz sadales punktam mājas un uzņēmuma telpu apkalpošanas vietā).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Ņemot vērā, ka Atveseļošanas fonda investīciju un reformu ieviesēji/īstenotāji ir aicināti piesaistīt biedrības vai nodibinājumus atbalstāmo darbību veikšanai, Satiksmes ministrija ir izveidojusi darba grupu valsts atbalsta programmas izstrādei, kuras sastāvā tostarp ir plānošanas reģioni, Latvijas Pašvaldību savienība un nozares asociācijas, kas ir aicinātas piedalīties investīciju nosacījumu plānošanas procesā. Savukārt, saskaņā ar Elektronisko sakaru likumu atbalstāmās darbības veikt ir tiesības elektronisko sakaru komersantam. Tas neizslēdz iespēju biedrībai vai nodibinājumam attiecīgi izpildīt tiesību aktos noteiktās prasības un kļūt par elektronisko sakaru komersantu.  </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Finansējuma saņēmējam, īstenojot projektu, jāievēro arī Eiropas Savienības fondu 2021.–2027. gada plānošanas perioda un Atveseļošanas fonda komunikācijas un dizaina vadlīnijas.</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Lai nodrošinātu, ka atbalsts saglabājas samērīgs un neizraisa neatbalstāmo darbību pārmērīgu kompensēšanu vai šķērssubsidēšanu, finansējuma saņēmējam ir pienākums: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1) nodrošināt atsevišķu grāmatvedības uzskaiti par finansējuma izlietojumu projektā, nodalot tā ietvaros veiktās darbības no citas saimnieciskās darbības;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 reizi gadā iesniegt peļņas un zaudējumu aprēķinu saistībā ar 2.4.1.2.i. investīcijas atbalsta finansēto tīklu un atmaksāt peļņu, kas pārsniedz 13% slieksni, atbalsta sniedzējam;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3) vairumtirdzniecības piekļuves pakalpojumu tarifu projekta un tā aprēķināšanas metodikas projekta iesniegšanu nozares ministrijai vismaz reizi trijos gados.</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Principa ''Nenodarīt būtisku kaitējumu'' investīcijas 2.4.1.2.i. novērtējumā [2] norādīts, ka nav tikusi konstatēta negatīva ietekme uz vidi. Finansējuma saņēmēja un projekta īstenotāja pienākums ir izvērtēt un nodrošināt, ka visi NBK nosacījumi tiek ievēroti. [2] Atveseļošanas un noturības mehānisma plāns 2021.-2026. gadam, 1.pielikums, Nenodarīt būtisku kaitējumu, pieejams šeit: https://www.esfondi.lv/upload/anm/02_anm_plana_pielikums_nr.1_dnsh_18052021.pdf</w:t>
      </w:r>
    </w:p>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2.4.1.2.i. investīcijai ir sasaiste ar:</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1) atklātas stratēģiskās autonomijas un drošības jautājumiem, ņemot vērā, ka 2.4.1.2.i. investīcija atbalstīs Eiropas Savienības digitālās suverenitātes mērķus;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 digitālo dimensiju, ņemot vērā, ka 2.4.1.2.i. investīcija ir 100% vērsta uz digitālo mērķu sasniegšanu, un 2.4.1.2.i. investīcijas attiecināmās izmaksas ir tieši attiecināmas uz Digitālo dimensiju, kas noteikta Eiropas Parlamenta un Padomes 2021. gada 12. februāra regulas Nr. 2021/241, ar ko izveido Atveseļošanas un noturības mehānismu, 16.panta 2.punkta (b) daļas ii apakšpunktā.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2.4.1.2.i. investīcija ir sinerģijā ar Izglītības un zinātnes ministrijas pārziņā esošo Atveseļošanas fonda 2.3.2.3.i. investīciju „Digitālās plaisas mazināšana sociāli neaizsargātajām grupām un izglītības iestādēs”, kur plānots atbalsts datu pārraides interneta pakalpojuma un iekšējā interneta tīkla funkcionēšanas uzlabojumi izglītības iestādēs mācību procesa nodrošināšanai, tostarp nepieciešamās priekšizpētes veikšana ekonomiski pamatota uzlabojumu plāna izstrādei un īstenošanai. 2.4.1.2.i. investīcijas atbalstāmo izglītības iestāžu saraksts tiks saskaņots ar Izglītības un zinātnes ministriju, lai ne tikai novērstu dubultfinansējuma risku, bet arī nodrošinātu sinerģiju atbalstāmo iestāžu līmenī, kā arī izmantojot priekšizpētes rezultātus.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ir izvērtēti alternatīvie risinājumi?</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2.4.1.2.i. investīcijas ieviešanas risinājums ir atbilstošs ar Ministru kabineta 2021.gada 11.novembra rīkojumu Nr. 826 apstiprinātā Elektronisko sakaru nozares attīstības plāna 2021.-2027. gadam 1.rīcības virziena ''Savienojamības paziņojumam atbilstošas platjoslas elektronisko sakaru infrastruktūras attīstīšana'' 1.3. pasākumam – ''vidējās jūdzes'' un ''pēdējās jūdzes'' elektronisko sakaru tīklu infrastruktūras attīstīšana, kas pamatojas uz 2020.gadā pēc Satiksmes ministrijas pasūtījuma veiktā pētījuma  ''Pētījums Eiropas Savienības fondu 2021.-2027. gada plānošanas perioda ieguldījumu priekšnosacījumu izpildei'' rezultātiem. </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ir izvērtēts prasību un izmaksu samērīgums pret ieguvumiem?</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1.4. Izvērtējumi/pētījumi, kas pamato TA nepieciešamību</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1.5. Pēcpārbaudes (ex-post) izvērtējums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tiks veikts?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1.6. Cita informācija</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Par valsts atbalsta pasākumu nav plānots veikt novērtēšanu,  ņemot vērā tās finansējuma apmēru un atbilstoši  metodikai, kas noteikta Komisijas dienestu darba dokumentā “Valsts atbalsta novērtējuma kopējā metodika”. Līdz 2023. gada beigām ir plānots ieviest Platjoslas pieejamības ģeogrāfiskās informācijas sistēmu, ar kuras palīdzību Satiksmes ministrija regulāri plāno analizēt ļoti augstas veiktspējas tīklu pārklājumu un pakalpojumu pieejamību, nepieciešamības gadījumā piedāvājot papildu veicinošus pasākumus, ja atsevišķās teritorijās elektronisko sakaru operatori ar privātām investīcijām nespēs nodrošināt interneta pakalpojumu atbilstoši Eiropas Savienības un Latvijas stratēģiskiem mērķiem par  vidējo tirgus cenu.</w:t>
      </w:r>
    </w:p>
    <w:p w:rsidP="00000000" w:rsidRDefault="00000000" w:rsidR="00000000" w:rsidRPr="00000000" w:rsidDel="00000000">
      <w:pPr>
        <w:contextualSpacing w:val="0"/>
        <w:spacing w:before="180" w:beforeAutospacing="0"/>
        <w:spacing w:lineRule="auto" w:line="240"/>
        <w:pBdr/>
      </w:pPr>
      <w:r w:rsidR="00000000" w:rsidRPr="00000000" w:rsidDel="00000000">
        <w:rPr>
          <w:rtl w:val="0"/>
        </w:rPr>
        <w:t xml:space="preserve"/>
      </w:r>
      <w:r w:rsidR="00000000" w:rsidRPr="00000000" w:rsidDel="00000000">
        <w:rPr>
          <w:sz w:val="32"/>
          <w:b w:val="1"/>
          <w:rtl w:val="0"/>
        </w:rPr>
        <w:t xml:space="preserve">2. Tiesību akta projekta ietekmējamās sabiedrības grupas, ietekme uz tautsaimniecības attīstību un administratīvo slogu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2.1. Sabiedrības grupas, kuras tiesiskais regulējums ietekmē, vai varētu ietekmēt</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Fiziskās personas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Ietekmes 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Juridiskās personas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Ietekmes 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Juridiskām personām noteikumu projekta tiesiskais regulējums nemaina tiesības un pienākumus, kā arī veicamās darbības. </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2.2. Tiesiskā regulējuma ietekme uz tautsaimniecību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2.2.1. uz makroekonomisko vidi:</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2.2.2. uz nozaru konkurētspēju: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2.2.3. uz uzņēmējdarbības vidi:</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Ietekmes 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Infrastruktūra tiks izmantota Eiropas Savienības stratēģiskajos dokumentos noteiktajiem mērķiem atbilstošu  elektronisko sakaru pakalpojumu pieejamības palielināšanai.  </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2.2.4. uz mazajiem un vidējiem uzņēmējiem:</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2.2.5. uz konkurenci:</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2.2.6. uz nodarbinātību: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2.3. Administratīvo izmaksu monetārs novērtējums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2.4. Atbilstības izmaksu monetārs novērtējums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180" w:beforeAutospacing="0"/>
        <w:spacing w:lineRule="auto" w:line="240"/>
        <w:pBdr/>
      </w:pPr>
      <w:r w:rsidR="00000000" w:rsidRPr="00000000" w:rsidDel="00000000">
        <w:rPr>
          <w:rtl w:val="0"/>
        </w:rPr>
        <w:t xml:space="preserve"/>
      </w:r>
      <w:r w:rsidR="00000000" w:rsidRPr="00000000" w:rsidDel="00000000">
        <w:rPr>
          <w:sz w:val="32"/>
          <w:b w:val="1"/>
          <w:rtl w:val="0"/>
        </w:rPr>
        <w:t xml:space="preserve">3. Tiesību akta projekta ietekme uz valsts budžetu un pašvaldību budžetiem</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lineRule="auto" w:line="240"/>
        <w:pBdr/>
      </w:pPr>
      <w:r w:rsidR="00000000" w:rsidRPr="00000000" w:rsidDel="00000000">
        <w:rPr>
          <w:rtl w:val="0"/>
        </w:rPr>
        <w:t xml:space="preserve"/>
      </w:r>
    </w:p>
    <w:tbl>
      <w:tblPr>
        <w:tblStyle w:val="DefaultTable"/>
        <w:bidiVisual w:val="0"/>
        <w:tblW w:w="9642.0" w:type="dxa"/>
        <w:tblInd w:w="0.0" w:type="dxa"/>
        <w:jc w:val="left"/>
        <w:tblBorders>
          <w:top w:color="auto" w:val="single" w:sz="5" w:space="0"/>
          <w:left w:color="auto" w:val="single" w:sz="5" w:space="0"/>
          <w:bottom w:color="auto" w:val="single" w:sz="5" w:space="0"/>
          <w:right w:color="auto" w:val="single" w:sz="5" w:space="0"/>
          <w:insideH w:color="auto" w:val="single" w:sz="5" w:space="0"/>
          <w:insideV w:color="auto" w:val="single" w:sz="5" w:space="0"/>
        </w:tblBorders>
        <w:tblLayout w:type="fixed"/>
        <w:tblLook w:val="0600"/>
      </w:tblPr>
      <w:tblGrid>
        <w:gridCol w:w="1205"/>
        <w:gridCol w:w="1205"/>
        <w:gridCol w:w="1205"/>
        <w:gridCol w:w="1205"/>
        <w:gridCol w:w="1205"/>
        <w:gridCol w:w="1205"/>
        <w:gridCol w:w="1205"/>
        <w:gridCol w:w="1205"/>
        <w:tblGridChange w:id="0">
          <w:tblGrid>
            <w:gridCol w:w="1205"/>
            <w:gridCol w:w="1205"/>
            <w:gridCol w:w="1205"/>
            <w:gridCol w:w="1205"/>
            <w:gridCol w:w="1205"/>
            <w:gridCol w:w="1205"/>
            <w:gridCol w:w="1205"/>
            <w:gridCol w:w="1205"/>
          </w:tblGrid>
        </w:tblGridChange>
      </w:tblGrid>
      <w:tr>
        <w:tc>
          <w:tcPr>
            <w:shd w:fill="ffffff"/>
            <w:vAlign w:val="bottom"/>
            <w:noWrap w:val="true"/>
            <w:vMerge w:val="restart"/>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Rādītājs</w:t>
            </w:r>
          </w:p>
        </w:tc>
        <w:tc>
          <w:tcPr>
            <w:shd w:fill="ffffff"/>
            <w:vAlign w:val="center"/>
            <w:noWrap w:val="true"/>
            <w:vMerge w:val="restart"/>
            <w:gridSpan w:val="2"/>
            <w:tcMar>
              <w:top w:w="75.0" w:type="dxa"/>
              <w:left w:w="75.0" w:type="dxa"/>
              <w:bottom w:w="75.0" w:type="dxa"/>
              <w:right w:w="75.0" w:type="dxa"/>
            </w:tcMar>
          </w:tcPr>
          <w:p w:rsidP="00000000" w:rsidRDefault="00000000" w:rsidR="00000000" w:rsidRPr="00000000" w:rsidDel="00000000">
            <w:pPr>
              <w:contextualSpacing w:val="0"/>
              <w:jc w:val="center"/>
              <w:spacing w:lineRule="auto" w:line="240"/>
              <w:pBdr/>
            </w:pPr>
            <w:r w:rsidR="00000000" w:rsidRPr="00000000" w:rsidDel="00000000">
              <w:rPr>
                <w:rtl w:val="0"/>
              </w:rPr>
              <w:t xml:space="preserve"/>
            </w:r>
            <w:r w:rsidR="00000000" w:rsidRPr="00000000" w:rsidDel="00000000">
              <w:rPr>
                <w:sz w:val="24"/>
                <w:b w:val="1"/>
                <w:rtl w:val="0"/>
              </w:rPr>
              <w:t xml:space="preserve">2023</w:t>
            </w:r>
          </w:p>
        </w:tc>
        <w:tc>
          <w:tcPr>
            <w:shd w:fill="ffffff"/>
            <w:vAlign w:val="center"/>
            <w:noWrap w:val="true"/>
            <w:gridSpan w:val="5"/>
            <w:tcMar>
              <w:top w:w="75.0" w:type="dxa"/>
              <w:left w:w="75.0" w:type="dxa"/>
              <w:bottom w:w="75.0" w:type="dxa"/>
              <w:right w:w="75.0" w:type="dxa"/>
            </w:tcMar>
          </w:tcPr>
          <w:p w:rsidP="00000000" w:rsidRDefault="00000000" w:rsidR="00000000" w:rsidRPr="00000000" w:rsidDel="00000000">
            <w:pPr>
              <w:contextualSpacing w:val="0"/>
              <w:jc w:val="center"/>
              <w:spacing w:lineRule="auto" w:line="240"/>
              <w:pBdr/>
            </w:pPr>
            <w:r w:rsidR="00000000" w:rsidRPr="00000000" w:rsidDel="00000000">
              <w:rPr>
                <w:rtl w:val="0"/>
              </w:rPr>
              <w:t xml:space="preserve"/>
            </w:r>
            <w:r w:rsidR="00000000" w:rsidRPr="00000000" w:rsidDel="00000000">
              <w:rPr>
                <w:sz w:val="24"/>
                <w:b w:val="1"/>
                <w:rtl w:val="0"/>
              </w:rPr>
              <w:t xml:space="preserve">Turpmākie trīs gadi (</w:t>
            </w:r>
            <w:r w:rsidR="00000000" w:rsidRPr="00000000" w:rsidDel="00000000">
              <w:rPr>
                <w:sz w:val="24"/>
                <w:b w:val="1"/>
                <w:i w:val="1"/>
                <w:rtl w:val="0"/>
              </w:rPr>
              <w:t xml:space="preserve">euro</w:t>
            </w:r>
            <w:r w:rsidR="00000000" w:rsidRPr="00000000" w:rsidDel="00000000">
              <w:rPr>
                <w:sz w:val="24"/>
                <w:b w:val="1"/>
                <w:rtl w:val="0"/>
              </w:rPr>
              <w:t xml:space="preserve">)</w:t>
            </w:r>
          </w:p>
        </w:tc>
      </w:tr>
      <w:tr>
        <w:tc>
          <w:tcPr>
            <w:shd w:fill="ffffff"/>
            <w:vAlign w:val="center"/>
            <w:noWrap w:val="true"/>
            <w:vMerge w:val="contin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vMerge w:val="continue"/>
            <w:gridSpan w:val="2"/>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gridSpan w:val="2"/>
            <w:tcMar>
              <w:top w:w="75.0" w:type="dxa"/>
              <w:left w:w="75.0" w:type="dxa"/>
              <w:bottom w:w="75.0" w:type="dxa"/>
              <w:right w:w="75.0" w:type="dxa"/>
            </w:tcMar>
          </w:tcPr>
          <w:p w:rsidP="00000000" w:rsidRDefault="00000000" w:rsidR="00000000" w:rsidRPr="00000000" w:rsidDel="00000000">
            <w:pPr>
              <w:contextualSpacing w:val="0"/>
              <w:jc w:val="center"/>
              <w:spacing w:lineRule="auto" w:line="240"/>
              <w:pBdr/>
            </w:pPr>
            <w:r w:rsidR="00000000" w:rsidRPr="00000000" w:rsidDel="00000000">
              <w:rPr>
                <w:rtl w:val="0"/>
              </w:rPr>
              <w:t xml:space="preserve"/>
            </w:r>
            <w:r w:rsidR="00000000" w:rsidRPr="00000000" w:rsidDel="00000000">
              <w:rPr>
                <w:sz w:val="24"/>
                <w:b w:val="1"/>
                <w:rtl w:val="0"/>
              </w:rPr>
              <w:t xml:space="preserve">2024</w:t>
            </w:r>
          </w:p>
        </w:tc>
        <w:tc>
          <w:tcPr>
            <w:shd w:fill="ffffff"/>
            <w:vAlign w:val="center"/>
            <w:noWrap w:val="true"/>
            <w:gridSpan w:val="2"/>
            <w:tcMar>
              <w:top w:w="75.0" w:type="dxa"/>
              <w:left w:w="75.0" w:type="dxa"/>
              <w:bottom w:w="75.0" w:type="dxa"/>
              <w:right w:w="75.0" w:type="dxa"/>
            </w:tcMar>
          </w:tcPr>
          <w:p w:rsidP="00000000" w:rsidRDefault="00000000" w:rsidR="00000000" w:rsidRPr="00000000" w:rsidDel="00000000">
            <w:pPr>
              <w:contextualSpacing w:val="0"/>
              <w:jc w:val="center"/>
              <w:spacing w:lineRule="auto" w:line="240"/>
              <w:pBdr/>
            </w:pPr>
            <w:r w:rsidR="00000000" w:rsidRPr="00000000" w:rsidDel="00000000">
              <w:rPr>
                <w:rtl w:val="0"/>
              </w:rPr>
              <w:t xml:space="preserve"/>
            </w:r>
            <w:r w:rsidR="00000000" w:rsidRPr="00000000" w:rsidDel="00000000">
              <w:rPr>
                <w:sz w:val="24"/>
                <w:b w:val="1"/>
                <w:rtl w:val="0"/>
              </w:rPr>
              <w:t xml:space="preserve">2025</w:t>
            </w:r>
          </w:p>
        </w:tc>
        <w:tc>
          <w:tcPr>
            <w:shd w:fill="ffffff"/>
            <w:vAlign w:val="center"/>
            <w:noWrap w:val="true"/>
            <w:gridSpan w:val="1"/>
            <w:tcMar>
              <w:top w:w="75.0" w:type="dxa"/>
              <w:left w:w="75.0" w:type="dxa"/>
              <w:bottom w:w="75.0" w:type="dxa"/>
              <w:right w:w="75.0" w:type="dxa"/>
            </w:tcMar>
          </w:tcPr>
          <w:p w:rsidP="00000000" w:rsidRDefault="00000000" w:rsidR="00000000" w:rsidRPr="00000000" w:rsidDel="00000000">
            <w:pPr>
              <w:contextualSpacing w:val="0"/>
              <w:jc w:val="center"/>
              <w:spacing w:lineRule="auto" w:line="240"/>
              <w:pBdr/>
            </w:pPr>
            <w:r w:rsidR="00000000" w:rsidRPr="00000000" w:rsidDel="00000000">
              <w:rPr>
                <w:rtl w:val="0"/>
              </w:rPr>
              <w:t xml:space="preserve"/>
            </w:r>
            <w:r w:rsidR="00000000" w:rsidRPr="00000000" w:rsidDel="00000000">
              <w:rPr>
                <w:sz w:val="24"/>
                <w:b w:val="1"/>
                <w:rtl w:val="0"/>
              </w:rPr>
              <w:t xml:space="preserve">2026</w:t>
            </w:r>
          </w:p>
        </w:tc>
      </w:tr>
      <w:tr>
        <w:tc>
          <w:tcPr>
            <w:shd w:fill="ffffff"/>
            <w:vAlign w:val="center"/>
            <w:noWrap w:val="true"/>
            <w:vMerge w:val="contin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saskaņā ar valsts budžetu kārtējam gadam</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izmaiņas kārtējā gadā, salīdzinot ar valsts budžetu kārtējam gadam</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saskaņā ar vidēja termiņa budžeta ietvaru</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izmaiņas, salīdzinot ar vidēja termiņa budžeta ietvaru</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saskaņā ar vidēja termiņa budžeta ietvaru</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izmaiņas, salīdzinot ar vidēja termiņa budžeta ietvaru</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izmaiņas, salīdzinot ar vidēja termiņa budžeta ietvaru</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b w:val="1"/>
                <w:rtl w:val="0"/>
              </w:rPr>
              <w:t xml:space="preserve">1</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b w:val="1"/>
                <w:rtl w:val="0"/>
              </w:rPr>
              <w:t xml:space="preserve">2</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b w:val="1"/>
                <w:rtl w:val="0"/>
              </w:rPr>
              <w:t xml:space="preserve">3</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b w:val="1"/>
                <w:rtl w:val="0"/>
              </w:rPr>
              <w:t xml:space="preserve">4</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b w:val="1"/>
                <w:rtl w:val="0"/>
              </w:rPr>
              <w:t xml:space="preserve">5</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b w:val="1"/>
                <w:rtl w:val="0"/>
              </w:rPr>
              <w:t xml:space="preserve">6</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b w:val="1"/>
                <w:rtl w:val="0"/>
              </w:rPr>
              <w:t xml:space="preserve">7</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b w:val="1"/>
                <w:rtl w:val="0"/>
              </w:rPr>
              <w:t xml:space="preserve">8</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1. Budžeta ieņēmumi</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1 800 000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1 800 000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400 000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1.1. valsts pamatbudžets, tai skaitā ieņēmumi no maksas pakalpojumiem un citi pašu ieņēmumi</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1 800 000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1 800 000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400 000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1.2. valsts speciālais budžets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1.3. pašvaldību budžets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2. Budžeta izdevumi</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1 800 000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1 800 000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400 000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2.1. valsts pamatbudžets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1 800 000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1 800 000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400 000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2.2. valsts speciālais budžets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2.3. pašvaldību budžets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3. Finansiālā ietekme</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3.1. valsts pamatbudžets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3.2. speciālais budžets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3.3. pašvaldību budžets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4. Finanšu līdzekļi papildu izdevumu finansēšanai (kompensējošu izdevumu palielinājumu norāda ar "-" zīmi)</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5. Precizēta finansiālā ietekme</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5.1. valsts pamatbudžets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5.2. speciālais budžets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5.3. pašvaldību budžets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right"/>
              <w:spacing w:lineRule="auto" w:line="240"/>
              <w:pBdr/>
            </w:pPr>
            <w:r w:rsidR="00000000" w:rsidRPr="00000000" w:rsidDel="00000000">
              <w:rPr>
                <w:rtl w:val="0"/>
              </w:rPr>
              <w:t xml:space="preserve"/>
            </w:r>
            <w:r w:rsidR="00000000" w:rsidRPr="00000000" w:rsidDel="00000000">
              <w:rPr>
                <w:sz w:val="24"/>
                <w:rtl w:val="0"/>
              </w:rPr>
              <w:t xml:space="preserve">0</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6. Detalizēts ieņēmumu un izdevumu aprēķins (ja nepieciešams, detalizētu ieņēmumu un izdevumu aprēķinu var pievienot anotācijas (ex-ante) pielikumā)</w:t>
            </w:r>
          </w:p>
        </w:tc>
        <w:tc>
          <w:tcPr>
            <w:shd w:fill="ffffff"/>
            <w:vAlign w:val="center"/>
            <w:noWrap w:val="true"/>
            <w:gridSpan w:val="7"/>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2.4.1.2.i. investīcijas īstenošanai Atveseļošanās fonda finansējums ir 4 000 000 euro.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2024 - 4 000 000 x 45% = 1 800 000 euro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2025 - 4 000 000 x 45% = 1 800 000 euro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2026 - 4 000 000 x 10% = 400 000 euro</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6.1. detalizēts ieņēmumu aprēķins</w:t>
            </w:r>
          </w:p>
        </w:tc>
        <w:tc>
          <w:tcPr>
            <w:shd w:fill="ffffff"/>
            <w:vAlign w:val="center"/>
            <w:noWrap w:val="true"/>
            <w:gridSpan w:val="7"/>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6.2. detalizēts izdevumu aprēķins</w:t>
            </w:r>
          </w:p>
        </w:tc>
        <w:tc>
          <w:tcPr>
            <w:shd w:fill="ffffff"/>
            <w:vAlign w:val="center"/>
            <w:noWrap w:val="true"/>
            <w:gridSpan w:val="7"/>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Pasākuma apguve un aktivitāte plānota no 2023.gada līdz 2026. gadam, kur 2023. gadā programma tiks uzsākta, bet tā kā nav paredzēts avanss, plānots, ka finansējums būs nepieciešams 2024. gadā un 2025. gadā attiecīgi 45% un 45% no kopējā finansējuma: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- 2024. gads: 4 000 000 x 50% = 1 800 000 euro;</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- 2025. gads: 4 000 000 x 50% = 1 800 000 euro.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2026. gadā plānots izmaksāt noslēguma maksājumu 10% apmērā jeb 400 000 euro.</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Pasākums izdevumu attiecināmības termiņš ir līdz 2026. gada 31.augustam. </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rPr>
                <w:sz w:val="24"/>
                <w:rtl w:val="0"/>
              </w:rPr>
            </w:pPr>
            <w:r w:rsidR="00000000" w:rsidRPr="00000000" w:rsidDel="00000000">
              <w:rPr>
                <w:sz w:val="24"/>
                <w:rtl w:val="0"/>
              </w:rPr>
              <w:t xml:space="preserve">7. Amata vietu skaita izmaiņas (palielinājuma gadījumā: izvērsts pamatojums, izvērtējums par esošo resursu pārskatīšanas iespējām, t.sk. vakanto štata vietu, ilgstošo vakanču izmantošanu u.c.)</w:t>
            </w:r>
          </w:p>
        </w:tc>
        <w:tc>
          <w:tcPr>
            <w:shd w:fill="ffffff"/>
            <w:vAlign w:val="center"/>
            <w:noWrap w:val="true"/>
            <w:gridSpan w:val="7"/>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Projekts šo jomu neskar. </w:t>
            </w:r>
          </w:p>
        </w:tc>
      </w:tr>
    </w:tbl>
    <w:p w:rsidP="00000000" w:rsidRDefault="00000000" w:rsidR="00000000" w:rsidRPr="00000000" w:rsidDel="00000000">
      <w:pPr>
        <w:contextualSpacing w:val="0"/>
        <w:spacing w:lineRule="auto" w:line="240"/>
        <w:pBdr/>
      </w:pPr>
      <w:r w:rsidR="00000000" w:rsidRPr="00000000" w:rsidDel="00000000">
        <w:rPr>
          <w:rtl w:val="0"/>
        </w:rPr>
        <w:t xml:space="preserve"/>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Cita informācija</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Investīciju pasākumam nepieciešamais Atveseļošanās fonda finansējums tiks pieprasīts no budžeta programmas 80.00.00 "Nesadalītais finansējums Eiropas Savienības politiku instrumentu un pārējās ārvalstu finanšu palīdzības līdzfinansēto projektu un pasākumu īstenošanai".  2.4.1.2.i. investīcijas ietvaros pievienotās vērtības nodokļa izmaksas finansējuma saņēmēji nodrošinās no saviem līdzekļiem.</w:t>
      </w:r>
    </w:p>
    <w:p w:rsidP="00000000" w:rsidRDefault="00000000" w:rsidR="00000000" w:rsidRPr="00000000" w:rsidDel="00000000">
      <w:pPr>
        <w:contextualSpacing w:val="0"/>
        <w:spacing w:before="180" w:beforeAutospacing="0"/>
        <w:spacing w:lineRule="auto" w:line="240"/>
        <w:pBdr/>
      </w:pPr>
      <w:r w:rsidR="00000000" w:rsidRPr="00000000" w:rsidDel="00000000">
        <w:rPr>
          <w:rtl w:val="0"/>
        </w:rPr>
        <w:t xml:space="preserve"/>
      </w:r>
      <w:r w:rsidR="00000000" w:rsidRPr="00000000" w:rsidDel="00000000">
        <w:rPr>
          <w:sz w:val="32"/>
          <w:b w:val="1"/>
          <w:rtl w:val="0"/>
        </w:rPr>
        <w:t xml:space="preserve">4. Tiesību akta projekta ietekme uz spēkā esošo tiesību normu sistēmu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4.2. Cita informācija</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w:t>
      </w:r>
    </w:p>
    <w:p w:rsidP="00000000" w:rsidRDefault="00000000" w:rsidR="00000000" w:rsidRPr="00000000" w:rsidDel="00000000">
      <w:pPr>
        <w:contextualSpacing w:val="0"/>
        <w:spacing w:before="180" w:beforeAutospacing="0"/>
        <w:spacing w:lineRule="auto" w:line="240"/>
        <w:pBdr/>
      </w:pPr>
      <w:r w:rsidR="00000000" w:rsidRPr="00000000" w:rsidDel="00000000">
        <w:rPr>
          <w:rtl w:val="0"/>
        </w:rPr>
        <w:t xml:space="preserve"/>
      </w:r>
      <w:r w:rsidR="00000000" w:rsidRPr="00000000" w:rsidDel="00000000">
        <w:rPr>
          <w:sz w:val="32"/>
          <w:b w:val="1"/>
          <w:rtl w:val="0"/>
        </w:rPr>
        <w:t xml:space="preserve">5. Tiesību akta projekta atbilstība Latvijas Republikas starptautiskajām saistībām</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5.1. Saistības pret Eiropas Savienību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ir attiecināms?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ES tiesību akta CELEX numurs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52021PC0340</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ES tiesību akta datums, izdevējinstitūcija, numurs, veids un nosaukums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Padomes 2021.gada 6.jūlija Īstenošanas lēmums par Latvijas Atveseļošanās fonda plāna izvērtējuma apstiprināšanu un tā pielikums (dokuments Nr. 10157/21,10157/21 ADD1).</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Pasākumu paredzēts īstenot saskaņā ar Padomes 2021.gada 6.jūlija Īstenošanas lēmumu par Latvijas Atveseļošanās fonda plāna izvērtējuma apstiprināšanu, tas ir, 2.4.1.2.i. investīcijai ''Platjoslas jeb ļoti augstas veiktspējas tīklu ''pēdējās jūdzes'' infrastruktūras attīstība'' ieplānoti 4 000 000 EUR un saskaņā ar Eiropas Komisijas 2023. gada 31. janvāra paziņojumu “Pamatnostādnes par valsts atbalstu platjoslas tīkliem” (2023/C 36/01). Ministru kabineta noteikumu projektā mērķi un atbalstāmās darbības ir noteikti, ņemot vērā Eiropas Komisijas 2023. gada 31. janvāra paziņojuma “Pamatnostādnes par valsts atbalstu platjoslas tīkliem” (2023/C 36/01) nosacījumus, kā arī iekļauti atbilstoši komercdarbības atbalsta nosacījumi, ņemot vērā uzraudzības, ziņošanas u.c. prasības.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Ministru kabineta noteikumu projekts kopā ar informāciju saistībā ar Eiropas Komisijas Regulu (ES) 2023/1315 (2023. gada 23. jūnijs), ar kuru groza Regulu (ES) Nr. 651/2014, ar ko noteiktas atbalsta kategorijas atzīst par saderīgām ar iekšējo tirgu, piemērojot Līguma 107. un 108. pantu, un Regulu (ES) 2022/2473, ar kuru, piemērojot Līguma 107. un 108. pantu, dažu kategoriju atbalstu uzņēmumiem, kas nodarbojas ar zvejas un akvakultūras produktu ražošanu, apstrādi un tirdzniecību, atzīst par saderīgu ar iekšējo tirgu, 52. pantu, tiks iesniegts Eiropas Komisijai.</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ES tiesību akta CELEX numurs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32021R0241</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ES tiesību akta datums, izdevējinstitūcija, numurs, veids un nosaukums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Eiropas Parlamenta un Padomes 2021. gada 12. februāra Regula (ES) Nr. 2021/241 ar ko izveido Atveseļošanas un noturības mehānismu (Eiropas Savienības Oficiālais vēstnesis 18.02.2021, L 57).</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Pasākumu plānots īstenot saskaņā ar Eiropas Parlamenta un Padomes 2021. gada Regulā (ES) Nr. 2021/241 noteiktajiem Atveseļošanās fonda vispārīgajiem, finansiālajiem, institucionālajiem un uzraudzības noteikumiem. Regulā noteikts, ka 2.4.1.2.i. investīcijas attiecināmās izmaksas ir tieši attiecināmas uz Digitālo dimensiju. Saskaņā ar Regulu nozares ministrija, atbalsta sniedzējs un finansējuma saņēmējs nodrošinās informācijas un publicitātes pasākumus par 2.4.1.2.i. investīciju.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ES tiesību akta CELEX numurs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32018R1046</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ES tiesību akta datums, izdevējinstitūcija, numurs, veids un nosaukums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Eiropas Parlamenta un Padomes 2018. gada 18. jūlija Regulas (ES, Euratom) 2018/1046 par finanšu noteikumiem, ko piemēro Savienības vispārējam budžetam, ar kuru groza Regulas (ES) Nr. 1296/2013, (ES) Nr. 1301/2013, (ES) Nr. 1303/2013, (ES) Nr. 1304/2013, (ES) Nr. 1309/2013, (ES) Nr. 1316/2013, (ES) Nr. 223/2014, (ES) Nr. 283/2014 un Lēmumu Nr. 541/2014/ES un atceļ Regulu (ES, Euratom) Nr. 966/2012 (Eiropas Savienības Oficiālais vēstnesis 30.07.2018, L 193).</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Projektu iesniegumu atlase noritēs atbilstoši projektu iesniegumu atlases nolikuma prasībām, tai skaitā, veicot finansējuma saņēmēja atbilstības novērtējumu Eiropas Parlamenta un Padomes 2018. gada 18. jūlija Regulā (ES, Euratom) 2018/1046 par finanšu noteikumiem, ko piemēro Savienības vispārējam budžetam, ar kuru groza Regulas (ES) Nr. 1296/2013, (ES) Nr. 1301/2013, (ES) Nr. 1303/2013, (ES) Nr. 1304/2013, (ES) Nr. 1309/2013, (ES) Nr. 1316/2013, (ES) Nr. 223/2014, (ES) Nr. 283/2014 un Lēmumu Nr. 541/2014/ES un atceļ Regulu (ES, Euratom) Nr. 966/2012 noteiktajiem izslēgšanas kritērijiem.</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ES tiesību akta CELEX numurs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32014R0651</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ES tiesību akta datums, izdevējinstitūcija, numurs, veids un nosaukums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Komisijas Regula (ES) Nr. 651/2014 (2014. gada 17. jūnijs), ar ko noteiktas atbalsta kategorijas atzīst par saderīgām ar iekšējo tirgu, piemērojot Līguma 107. un 108. pantu.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Komisijas Regulā (ES) Nr. 651/2014 (2014. gada 17. jūnijs), ar ko noteiktas atbalsta kategorijas atzīst par saderīgām ar iekšējo tirgu, piemērojot Līguma 107. un 108. pantu, noteiktas prioritātes valsts atbalsta noteikumu piemērošanas darbībām, lai panāktu lielāku vienkāršošanu un tiktu veicināta lielāka pārredzamība, efektīvāka novērtēšana un kontrole attiecībā uz valsts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atbalsta noteikumu ievērošanu valstu un Savienības līmenī, vienlaikus saglabājot Komisijas un dalībvalstu institucionālās pilnvaras. </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5.2. Citas starptautiskās saistības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ir attiecināms?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5.3. Cita informācija</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5.4. 1. tabula. Tiesību akta projekta atbilstība ES tiesību aktiem</w:t>
      </w:r>
    </w:p>
    <w:tbl>
      <w:tblPr>
        <w:tblStyle w:val="DefaultTable"/>
        <w:bidiVisual w:val="0"/>
        <w:tblW w:w="9642.0" w:type="dxa"/>
        <w:tblInd w:w="0.0" w:type="dxa"/>
        <w:jc w:val="left"/>
        <w:tblBorders>
          <w:top w:color="auto" w:val="single" w:sz="5" w:space="0"/>
          <w:left w:color="auto" w:val="single" w:sz="5" w:space="0"/>
          <w:bottom w:color="auto" w:val="single" w:sz="5" w:space="0"/>
          <w:right w:color="auto" w:val="single" w:sz="5" w:space="0"/>
          <w:insideH w:color="auto" w:val="single" w:sz="5" w:space="0"/>
          <w:insideV w:color="auto" w:val="single" w:sz="5" w:space="0"/>
        </w:tblBorders>
        <w:tblLayout w:type="fixed"/>
        <w:tblLook w:val="0600"/>
      </w:tblPr>
      <w:tblGrid>
        <w:gridCol w:w="2410"/>
        <w:gridCol w:w="2410"/>
        <w:gridCol w:w="2410"/>
        <w:gridCol w:w="2410"/>
        <w:tblGridChange w:id="0">
          <w:tblGrid>
            <w:gridCol w:w="2410"/>
            <w:gridCol w:w="2410"/>
            <w:gridCol w:w="2410"/>
            <w:gridCol w:w="2410"/>
          </w:tblGrid>
        </w:tblGridChange>
      </w:tblGrid>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Attiecīgā ES tiesību akta datums, izdevējinstitūcija, numurs, veids un nosaukums</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Padomes 2021.gada 6.jūlija Īstenošanas lēmums par Latvijas Atveseļošanās fonda plāna izvērtējuma apstiprināšanu un tā pielikums (dokuments Nr. 10157/21,10157/21 ADD1).</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ES TA panta numurs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Projekta vienība, kas pārņem vai ievieš A minēto</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Tiek pārņemts pilnībā vai daļēji</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Vai B minētais paredz stingrākas prasības un pamatojums</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B</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C</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D</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2. panta 4. punkts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5. punkts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Pārņemtas pilnībā</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Neparedz stingrākas prasības </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I pielikums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5.1., 5.2., 5.3. apakšpunkts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Pārņemtas pilnībā</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Neparedz stingrākas prasības </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Kā ir izmantota ES tiesību aktā paredzētā rīcības brīvība dalībvalstij pārņemt vai ieviest noteiktas ES tiesību akta normas? Kādēļ?</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Noteikumu projekts šo jomu neskar.</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Noteikumu projekts šo jomu neskar.</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Cita informācija</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Attiecīgā ES tiesību akta datums, izdevējinstitūcija, numurs, veids un nosaukums</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Eiropas Parlamenta un Padomes 2021. gada 12. februāra Regula (ES) Nr. 2021/241 ar ko izveido Atveseļošanas un noturības mehānismu (Eiropas Savienības Oficiālais vēstnesis 18.02.2021, L 57).</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ES TA panta numurs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Projekta vienība, kas pārņem vai ievieš A minēto</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Tiek pārņemts pilnībā vai daļēji</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Vai B minētais paredz stingrākas prasības un pamatojums</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B</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C</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D</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6.panta 2.punkta (b) daļas ii apakšpunkts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8.2. apakšpunkts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Pārņemtas pilnībā</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Neparedz stingrākas prasības </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34. panta 2. punkts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16., 26. punkts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Pārņemtas pilnībā</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Neparedz stingrākas prasības </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Kā ir izmantota ES tiesību aktā paredzētā rīcības brīvība dalībvalstij pārņemt vai ieviest noteiktas ES tiesību akta normas? Kādēļ?</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Noteikumu projekts šo jomu neskar.</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Noteikumu projekts šo jomu neskar.</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Cita informācija</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Attiecīgā ES tiesību akta datums, izdevējinstitūcija, numurs, veids un nosaukums</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Eiropas Parlamenta un Padomes 2018. gada 18. jūlija Regulas (ES, Euratom) 2018/1046 par finanšu noteikumiem, ko piemēro Savienības vispārējam budžetam, ar kuru groza Regulas (ES) Nr. 1296/2013, (ES) Nr. 1301/2013, (ES) Nr. 1303/2013, (ES) Nr. 1304/2013, (ES) Nr. 1309/2013, (ES) Nr. 1316/2013, (ES) Nr. 223/2014, (ES) Nr. 283/2014 un Lēmumu Nr. 541/2014/ES un atceļ Regulu (ES, Euratom) Nr. 966/2012 (Eiropas Savienības Oficiālais vēstnesis 30.07.2018, L 193).</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ES TA panta numurs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Projekta vienība, kas pārņem vai ievieš A minēto</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Tiek pārņemts pilnībā vai daļēji</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Vai B minētais paredz stingrākas prasības un pamatojums</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B</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C</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D</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136. pants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23.1. apakšpunkts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Pārņemtas pilnībā</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Neparedz stingrākas prasības </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Kā ir izmantota ES tiesību aktā paredzētā rīcības brīvība dalībvalstij pārņemt vai ieviest noteiktas ES tiesību akta normas? Kādēļ?</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Noteikumu projekts šo jomu neskar.</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Noteikumu projekts šo jomu neskar.</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Cita informācija</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Attiecīgā ES tiesību akta datums, izdevējinstitūcija, numurs, veids un nosaukums</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Komisijas Regula (ES) Nr. 651/2014 (2014. gada 17. jūnijs), ar ko noteiktas atbalsta kategorijas atzīst par saderīgām ar iekšējo tirgu, piemērojot Līguma 107. un 108. pantu.</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ES TA panta numurs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Projekta vienība, kas pārņem vai ievieš A minēto</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Tiek pārņemts pilnībā vai daļēji</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Vai B minētais paredz stingrākas prasības un pamatojums</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B</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C</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D</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52. pants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18.1. apakšpunkts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Pārņemtas pilnībā</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Neparedz stingrākas prasības </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11. pants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18.6., 19.7. apakšpunkts</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Pārņemtas pilnībā</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Neparedz stingrākas prasības </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Kā ir izmantota ES tiesību aktā paredzētā rīcības brīvība dalībvalstij pārņemt vai ieviest noteiktas ES tiesību akta normas? Kādēļ?</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Nozares ministrija nodrošina informācijas iesniegšanu reizi gadā ziņojumam, kas paredzēts Eiropas Komisijas 2014. gada 17. jūnijs regulas Nr. 651/2014, ar ko noteiktas atbalsta kategorijas atzīst par saderīgām ar iekšējo tirgu, piemērojot Līguma 107. un 108. pantu, 11. pantā.</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Cita informācija</w:t>
            </w:r>
          </w:p>
        </w:tc>
        <w:tc>
          <w:tcPr>
            <w:shd w:fill="ffffff"/>
            <w:vAlign w:val="center"/>
            <w:noWrap w:val="true"/>
            <w:gridSpan w:val="3"/>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Ņemta vērā Eiropas Komisijas Regula 2023/1315, ar kuru groza Regulu (ES) Nr. 651/2014, ar ko noteiktas atbalsta kategorijas atzīst par saderīgām ar iekšējo tirgu, piemērojot Līguma 107. un 108. pantu, un Regulu (ES) 2022/2473, ar kuru, piemērojot Līguma 107. un 108. pantu, dažu kategoriju atbalstu uzņēmumiem, kas nodarbojas ar zvejas un akvakultūras produktu ražošanu, apstrādi un tirdzniecību, atzīst par saderīgu ar iekšējo tirgu.</w:t>
            </w:r>
          </w:p>
        </w:tc>
      </w:tr>
    </w:tbl>
    <w:p w:rsidP="00000000" w:rsidRDefault="00000000" w:rsidR="00000000" w:rsidRPr="00000000" w:rsidDel="00000000">
      <w:pPr>
        <w:contextualSpacing w:val="0"/>
        <w:spacing w:before="180" w:beforeAutospacing="0"/>
        <w:spacing w:lineRule="auto" w:line="240"/>
        <w:pBdr/>
      </w:pPr>
      <w:r w:rsidR="00000000" w:rsidRPr="00000000" w:rsidDel="00000000">
        <w:rPr>
          <w:rtl w:val="0"/>
        </w:rPr>
        <w:t xml:space="preserve"/>
      </w:r>
      <w:r w:rsidR="00000000" w:rsidRPr="00000000" w:rsidDel="00000000">
        <w:rPr>
          <w:sz w:val="32"/>
          <w:b w:val="1"/>
          <w:rtl w:val="0"/>
        </w:rPr>
        <w:t xml:space="preserve">6. Projekta izstrādē iesaistītās institūcijas un sabiedrības līdzdalības process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Sabiedrības līdzdalība uz šo tiesību akta projektu neattiecas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6.1. Projekta izstrādē iesaistītās institūcijas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Valsts un pašvaldību institūcijas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Ekonomikas ministrija, Finanšu ministrija, Satiksmes ministrija</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Nevalstiskās organizācijas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Biedrība "Latvijas Informācijas un komunikācijas tehnoloģijas asociācija", Biedrība "Latvijas Telekomunikāciju asociācija", Latvijas Interneta asociācija, Latvijas Pašvaldību savienība, Latvijas Elektronisko komunikāciju asociācija, Latvijas IT klasteris (itcluster@itbaltic.com)</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Cits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Kurzemes plānošanas reģions, Rīgas plānošanas reģions, Vidzemes plānošanas reģions, Zemgales plānošanas reģions, Latgales plānošanas reģions</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6.2. Sabiedrības līdzdalības organizēšanas veidi</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Veids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Publiskā apspriešana</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Saite uz sabiedrības līdzdalības rezultātiem</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https://vktap.mk.gov.lv/legal_acts/headers/6e9c433f-ce0d-4be0-81f5-d7a0245f4837/public_participations</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6.3. Sabiedrības līdzdalības rezultāti</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Iebildumi vai priekšlikumi netika saņemti.</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6.4. Cita informācija</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Cita informācija</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w:t>
      </w:r>
    </w:p>
    <w:p w:rsidP="00000000" w:rsidRDefault="00000000" w:rsidR="00000000" w:rsidRPr="00000000" w:rsidDel="00000000">
      <w:pPr>
        <w:contextualSpacing w:val="0"/>
        <w:spacing w:before="180" w:beforeAutospacing="0"/>
        <w:spacing w:lineRule="auto" w:line="240"/>
        <w:pBdr/>
      </w:pPr>
      <w:r w:rsidR="00000000" w:rsidRPr="00000000" w:rsidDel="00000000">
        <w:rPr>
          <w:rtl w:val="0"/>
        </w:rPr>
        <w:t xml:space="preserve"/>
      </w:r>
      <w:r w:rsidR="00000000" w:rsidRPr="00000000" w:rsidDel="00000000">
        <w:rPr>
          <w:sz w:val="32"/>
          <w:b w:val="1"/>
          <w:rtl w:val="0"/>
        </w:rPr>
        <w:t xml:space="preserve">7. Tiesību akta projekta izpildes nodrošināšana un tās ietekme uz institūcijām</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7.1. Projekta izpildē iesaistītās institūcijas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Institūcijas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Satiksmes ministrija</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Centrālā finanšu un līgumu aģentūra</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7.2. Administratīvo izmaksu monetārs novērtējums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7.3. Atbilstības izmaksu monetārs novērtējums</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7.4. Projekta izpildes ietekme uz pārvaldes funkcijām un institucionālo struktūru</w:t>
      </w:r>
    </w:p>
    <w:tbl>
      <w:tblPr>
        <w:tblStyle w:val="DefaultTable"/>
        <w:bidiVisual w:val="0"/>
        <w:tblW w:w="9642.0" w:type="dxa"/>
        <w:tblInd w:w="0.0" w:type="dxa"/>
        <w:jc w:val="left"/>
        <w:tblBorders>
          <w:top w:color="auto" w:val="single" w:sz="5" w:space="0"/>
          <w:left w:color="auto" w:val="single" w:sz="5" w:space="0"/>
          <w:bottom w:color="auto" w:val="single" w:sz="5" w:space="0"/>
          <w:right w:color="auto" w:val="single" w:sz="5" w:space="0"/>
          <w:insideH w:color="auto" w:val="single" w:sz="5" w:space="0"/>
          <w:insideV w:color="auto" w:val="single" w:sz="5" w:space="0"/>
        </w:tblBorders>
        <w:tblLayout w:type="fixed"/>
        <w:tblLook w:val="0600"/>
      </w:tblPr>
      <w:tblGrid>
        <w:gridCol w:w="4371"/>
        <w:gridCol w:w="900"/>
        <w:gridCol w:w="4371"/>
        <w:tblGridChange w:id="0">
          <w:tblGrid>
            <w:gridCol w:w="4371"/>
            <w:gridCol w:w="900"/>
            <w:gridCol w:w="4371"/>
          </w:tblGrid>
        </w:tblGridChange>
      </w:tblGrid>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Ietekme</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Jā/Nē</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b w:val="1"/>
                <w:rtl w:val="0"/>
              </w:rPr>
              <w:t xml:space="preserve">Skaidrojums</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1. Tiks veidota jauna institūcija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Nē</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2. Tiks likvidēta institūcija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Nē</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3. Tiks veikta esošās institūcijas reorganizācija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Nē</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4. Institūcijas funkcijas un uzdevumi tiks mainīti (paplašināti vai sašaurināti)</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Nē</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5. Tiks veikta iekšējo institūcijas procesu efektivizācija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Nē</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6. Tiks veikta iekšējo institūcijas procesu digitalizācija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Nē</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7. Tiks veikta iekšējo institūcijas procesu optimizācija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Nē</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r>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8. Cita informācija</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jc w:val="left"/>
              <w:spacing w:lineRule="auto" w:line="240"/>
              <w:pBdr/>
            </w:pPr>
            <w:r w:rsidR="00000000" w:rsidRPr="00000000" w:rsidDel="00000000">
              <w:rPr>
                <w:rtl w:val="0"/>
              </w:rPr>
              <w:t xml:space="preserve"/>
            </w:r>
            <w:r w:rsidR="00000000" w:rsidRPr="00000000" w:rsidDel="00000000">
              <w:rPr>
                <w:sz w:val="24"/>
                <w:rtl w:val="0"/>
              </w:rPr>
              <w:t xml:space="preserve">Nē</w:t>
            </w:r>
          </w:p>
        </w:tc>
        <w:tc>
          <w:tcPr>
            <w:shd w:fill="ffffff"/>
            <w:vAlign w:val="center"/>
            <w:noWrap w:val="true"/>
            <w:tcMar>
              <w:top w:w="75.0" w:type="dxa"/>
              <w:left w:w="75.0" w:type="dxa"/>
              <w:bottom w:w="75.0" w:type="dxa"/>
              <w:right w:w="75.0" w:type="dxa"/>
            </w:tcMar>
          </w:tcPr>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sz w:val="24"/>
                <w:rtl w:val="0"/>
              </w:rPr>
              <w:t xml:space="preserve">-</w:t>
            </w:r>
          </w:p>
        </w:tc>
      </w:tr>
    </w:tbl>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7.5. Cita informācija</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Cita informācija</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w:t>
      </w:r>
    </w:p>
    <w:p w:rsidP="00000000" w:rsidRDefault="00000000" w:rsidR="00000000" w:rsidRPr="00000000" w:rsidDel="00000000">
      <w:pPr>
        <w:contextualSpacing w:val="0"/>
        <w:spacing w:before="180" w:beforeAutospacing="0"/>
        <w:spacing w:lineRule="auto" w:line="240"/>
        <w:pBdr/>
      </w:pPr>
      <w:r w:rsidR="00000000" w:rsidRPr="00000000" w:rsidDel="00000000">
        <w:rPr>
          <w:rtl w:val="0"/>
        </w:rPr>
        <w:t xml:space="preserve"/>
      </w:r>
      <w:r w:rsidR="00000000" w:rsidRPr="00000000" w:rsidDel="00000000">
        <w:rPr>
          <w:sz w:val="32"/>
          <w:b w:val="1"/>
          <w:rtl w:val="0"/>
        </w:rPr>
        <w:t xml:space="preserve">8. Horizontālās ietekmes</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 Projekta tiesiskā regulējuma ietekme</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8.1.1. uz publisku pakalpojumu attīstību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Izbūvētā infrastruktūra nodrošinās ļoti augstas veiktspējas tīklu un pakalpojumu pieejamību galalietotājiem, kas palielinās pieprasījumu pēc publiskiem pakalpojumiem, tādejādi veicinot to attīstību. </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8.1.2. uz valsts un pašvaldību informācijas un komunikācijas tehnoloģiju attīstību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Izbūvētā infrastruktūra nodrošinās ļoti augstas veiktspējas tīklu un pakalpojumu pieejamību galalietotājiem, kā rezultātā būs iespēja izmantot jauno tehnoloģiju piedāvātās iespējas (nodrošinot jaudīgus liela ātruma interneta pieslēgumus). </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8.1.3. uz informācijas sabiedrības politikas īstenošanu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Pasākums veicinās informācijas sabiedrības politikas īstenošanas mērķi, proti, paaugstinās iedzīvotāju īpatsvaru, kas būs iespēja iespēja lietot IKT un pieejamos e-pakalpojumus. </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8.1.4. uz Nacionālā attīstības plāna rādītājiem</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Ar 2.4.1.2.i. investīciju tiks sekmēta Nacionālā attīstības plāna 315.uzdevuma ''Eiropas Savienības savienojamības mērķiem atbilstoša platjoslas elektronisko sakaru tīkla izveidošana, attīstot ''vidējās jūdzes'' un ''pēdējās jūdzes'' elektronisko sakaru tīklu infrastruktūru un izveidojot platjoslas kartēšanu'' izpilde. </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8.1.5. uz teritoriju attīstību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2.4.1.2.i. investīcijas veicinās teritoriju attīstību, ņemot vērā, ka ir būtisks priekšnosacījums esošjo uzņēmumu attīstībai un jaunu uzņēmumu veidošanai, kā arī var piesaistīt cilvēkus, kuriem darba specifika ļauj strādāt no mājām.</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8.1.6. uz vidi</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Pasākums būtiski sekmē klimata pārmaiņu mazināšanas mērķi saskaņā ar Taksonomijas regulas 10.panta 1. daļas c apakšpunktā minēto darbību ''Palielināt videi nekaitīgu vai klimatneitrālu mobilitāti'' sasniegšanu, ko atbalsta infrastruktūras ieguldījumi platjoslas infrastruktūras izveidē, kas nodrošina pakalpojumu saņemšanu e-vidē. </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8.1.7. uz klimatneitralitāti</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Jā</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Apraksts</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Pasākums būtiski sekmē klimata pārmaiņu mazināšanas mērķi saskaņā ar Taksonomijas regulas[1] 10.panta 1. daļas c apakšpunktā minēto darbību ''Palielināt videi nekaitīgu vai klimatneitrālu mobilitāti'' sasniegšanu, ko atbalsta infrastruktūras ieguldījumi platjoslas infrastruktūras izveidē, kas nodrošina pakalpojumu saņemšanu e-vidē.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Principa ''Nenodarīt būtisku kaitējumu'' (NBK) investīcijas 2.4.1.2.i. novērtējumā [2] norādīts, ka nav tikusi konstatēta negatīva ietekme uz vidi. Finansējuma saņēmēja un projekta īstenotāja pienākums ir izvērtēt un nodrošināt, ka visi NBK nosacījumi tiek ievēroti.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[1] EIROPAS PARLAMENTA UN PADOMES REGULA (ES) 2020/852 (2020. gada 18. jūnijs) par regulējuma izveidi ilgtspējīgu ieguldījumu veicināšanai un ar ko groza Regulu (ES) 2019/2088, pieejama šeit: https://eur-lex.europa.eu/legal-content/LV/TXT/?uri=uriserv%3AOJ.L_.2020.198.01.0013.01.LAV&amp;toc=OJ%3AL%3A2020%3A198%3AFULL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 </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[2] Atveseļošanas un noturības mehānisma plāns 2021.-2026. gadam, 1.pielikums, Nenodarīt būtisku kaitējumu, pieejams šeit: https://www.esfondi.lv/upload/anm/02_anm_plana_pielikums_nr.1_dnsh_18052021.pdf </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8.1.8. uz iedzīvotāju sociālo situāciju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8.1.9. uz personu ar invaliditāti vienlīdzīgām iespējām un tiesībām</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8.1.10. uz dzimumu līdztiesību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8.1.11. uz veselību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8.1.12. uz cilvēktiesībām, demokrātiskām vērtībām un pilsoniskās sabiedrības attīstību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8.1.13. uz datu aizsardzību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8.1.14. uz diasporu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8.1.15. uz profesiju reglamentāciju</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8.1.16. uz bērna labākajām interesēm</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Vai projekts skar šo jomu?</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Nē</w:t>
      </w:r>
    </w:p>
    <w:p w:rsidP="00000000" w:rsidRDefault="00000000" w:rsidR="00000000" w:rsidRPr="00000000" w:rsidDel="00000000">
      <w:pPr>
        <w:contextualSpacing w:val="0"/>
        <w:spacing w:before="270" w:beforeAutospacing="0"/>
        <w:spacing w:after="180" w:afterAutospacing="0"/>
        <w:spacing w:lineRule="auto" w:line="240"/>
        <w:pBdr/>
      </w:pPr>
      <w:r w:rsidR="00000000" w:rsidRPr="00000000" w:rsidDel="00000000">
        <w:rPr>
          <w:rtl w:val="0"/>
        </w:rPr>
        <w:t xml:space="preserve"/>
      </w:r>
      <w:r w:rsidR="00000000" w:rsidRPr="00000000" w:rsidDel="00000000">
        <w:rPr>
          <w:sz w:val="30"/>
          <w:b w:val="1"/>
          <w:rtl w:val="0"/>
        </w:rPr>
        <w:t xml:space="preserve">8.2. Cita informācija</w:t>
      </w:r>
    </w:p>
    <w:p w:rsidP="00000000" w:rsidRDefault="00000000" w:rsidR="00000000" w:rsidRPr="00000000" w:rsidDel="00000000">
      <w:pPr>
        <w:contextualSpacing w:val="0"/>
        <w:spacing w:before="90" w:beforeAutospacing="0"/>
        <w:spacing w:after="90" w:afterAutospacing="0"/>
        <w:spacing w:lineRule="auto" w:line="240"/>
        <w:pBdr/>
      </w:pPr>
      <w:r w:rsidR="00000000" w:rsidRPr="00000000" w:rsidDel="00000000">
        <w:rPr>
          <w:rtl w:val="0"/>
        </w:rPr>
        <w:t xml:space="preserve"/>
      </w:r>
      <w:r w:rsidR="00000000" w:rsidRPr="00000000" w:rsidDel="00000000">
        <w:rPr>
          <w:b w:val="1"/>
          <w:rtl w:val="0"/>
        </w:rPr>
        <w:t xml:space="preserve">Cita informācija</w:t>
      </w:r>
    </w:p>
    <w:p w:rsidP="00000000" w:rsidRDefault="00000000" w:rsidR="00000000" w:rsidRPr="00000000" w:rsidDel="00000000">
      <w:pPr>
        <w:contextualSpacing w:val="0"/>
        <w:spacing w:lineRule="auto" w:line="240"/>
        <w:pBdr/>
      </w:pPr>
      <w:r w:rsidR="00000000" w:rsidRPr="00000000" w:rsidDel="00000000">
        <w:rPr>
          <w:rtl w:val="0"/>
        </w:rPr>
        <w:t xml:space="preserve"/>
      </w:r>
      <w:r w:rsidR="00000000" w:rsidRPr="00000000" w:rsidDel="00000000">
        <w:rPr>
          <w:rtl w:val="0"/>
        </w:rPr>
        <w:t xml:space="preserve">Investīcijas īstenošanā tiks ievēroti vispārējie vienlīdzīgu iespēju un dzimumu līdztiesības principi. Faktiski šīs investīcijas netieši pozitīvi ietekmēs cilvēkus ar kustību traucējumiem, cilvēkus (piemēram, mātes vai tēvi ar bērniem), kuriem darba specifika ļauj strādāt no mājām, jo investīciju būtība vērsta uz kvalitatīvu elektronisko sakaru piejamības nodrošināšanu. Lai papildus veicinātu dzimumu līdztiesības un vienlīdzīgu iespēju principa integrēšana 2.4.1.2.i. investīcijas īstenošanā, līgumā par projekta īstenošanu tiks iekļauts nosacījums par dzimumu līdztiesības un vienlīdzīgu iespēju principa ievērošanu gan attiecībā uz projektā iesaistīto personālu, gan komunikācijas pasākumiem plašsaziņas līdzekļiem un sabiedrībai.</w:t>
      </w:r>
    </w:p>
    <w:sectPr>
      <w:headerReference r:id="rId7" w:type="default"/>
      <w:headerReference r:id="rId8" w:type="first"/>
      <w:footerReference r:id="rId2" w:type="default"/>
      <w:footerReference r:id="rId3" w:type="first"/>
      <w:titlePg w:val="true"/>
      <w:pgSz w:w="11908" w:h="16833" w:orient="portrait"/>
      <w:pgMar w:top="1133" w:bottom="1133" w:left="1133" w:right="113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Arial"/>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contextualSpacing w:val="0"/>
      <w:jc w:val="right"/>
    </w:pPr>
    <w:r w:rsidR="00000000" w:rsidRPr="00000000" w:rsidDel="00000000">
      <w:rPr>
        <w:sz w:val="24"/>
        <w:szCs w:val="24"/>
      </w:rPr>
      <w:fldChar w:fldCharType="begin"/>
      <w:instrText xml:space="preserve">PAGE</w:instrText>
      <w:fldChar w:fldCharType="end"/>
    </w:r>
    <w:r w:rsidR="00000000" w:rsidRPr="00000000" w:rsidDel="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pStyle w:val="header"/>
      <w:contextualSpacing w:val="0"/>
      <w:spacing w:lineRule="auto" w:line="240"/>
      <w:pBdr/>
    </w:pPr>
    <w:r w:rsidR="00000000" w:rsidRPr="00000000" w:rsidDel="00000000">
      <w:rPr>
        <w:rStyle w:val="header"/>
        <w:rtl w:val="0"/>
      </w:rPr>
      <w:t xml:space="preserve"/>
    </w:r>
    <w:r w:rsidR="00000000" w:rsidRPr="00000000" w:rsidDel="00000000">
      <w:rPr>
        <w:rtl w:val="0"/>
      </w:rPr>
      <w:t xml:space="preserve">Anotācija (ex-ante) 22-TA-2562</w:t>
    </w:r>
    <w:r>
      <w:br/>
    </w:r>
    <w:r w:rsidR="00000000" w:rsidRPr="00000000" w:rsidDel="00000000">
      <w:rPr>
        <w:rtl w:val="0"/>
      </w:rPr>
      <w:t xml:space="preserve">Izdrukāts 07.08.2023. 13.23</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Default="00000000" w:rsidR="00000000" w:rsidRPr="00000000" w:rsidDel="00000000">
    <w:pPr>
      <w:pStyle w:val="header"/>
      <w:contextualSpacing w:val="0"/>
      <w:spacing w:lineRule="auto" w:line="240"/>
      <w:pBdr/>
    </w:pPr>
    <w:r w:rsidR="00000000" w:rsidRPr="00000000" w:rsidDel="00000000">
      <w:rPr>
        <w:rStyle w:val="header"/>
        <w:rtl w:val="0"/>
      </w:rPr>
      <w:t xml:space="preserve"/>
    </w:r>
    <w:r w:rsidR="00000000" w:rsidRPr="00000000" w:rsidDel="00000000">
      <w:rPr>
        <w:rtl w:val="0"/>
      </w:rPr>
      <w:t xml:space="preserve">Anotācija (ex-ante) 22-TA-2562</w:t>
    </w:r>
    <w:r>
      <w:br/>
    </w:r>
    <w:r w:rsidR="00000000" w:rsidRPr="00000000" w:rsidDel="00000000">
      <w:rPr>
        <w:rtl w:val="0"/>
      </w:rPr>
      <w:t xml:space="preserve">Izdrukāts 07.08.2023. 13.23</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ocDefaults>
    <w:rPrDefault>
      <w:rPr>
        <w:rFonts w:cs="Times New Roman" w:hAnsi="Times New Roman" w:eastAsia="Times New Roman" w:ascii="Times New Roman"/>
        <w:b w:val="0"/>
        <w:i w:val="0"/>
        <w:caps w:val="0"/>
        <w:smallCaps w:val="0"/>
        <w:strike w:val="0"/>
        <w:color w:val="333333"/>
        <w:sz w:val="28"/>
        <w:u w:val="none"/>
        <w:vertAlign w:val="baseline"/>
        <w:lang w:val="lv-LV"/>
      </w:rPr>
    </w:rPrDefault>
    <w:pPrDefault>
      <w:pPr>
        <w:keepNext w:val="0"/>
        <w:keepLines w:val="0"/>
        <w:widowControl w:val="1"/>
        <w:spacing w:lineRule="auto" w:before="0" w:after="0" w:line="240"/>
        <w:ind w:left="0" w:right="0" w:firstLine="0"/>
        <w:jc w:val="both"/>
      </w:pPr>
    </w:pPrDefault>
  </w:docDefaults>
  <w:style w:styleId="Normal" w:type="paragraph" w:default="1">
    <w:name w:val="normal"/>
  </w:style>
  <w:style w:styleId="TableNormal" w:type="table" w:default="1">
    <w:name w:val="Table Normal"/>
    <w:pPr>
      <w:spacing w:lineRule="auto" w:line="644.0" w:before="0" w:after="0"/>
    </w:pPr>
  </w:style>
  <w:style w:styleId="Heading1" w:type="paragraph">
    <w:name w:val="heading 1"/>
    <w:basedOn w:val="Normal"/>
    <w:next w:val="Normal"/>
    <w:pPr>
      <w:keepNext w:val="0"/>
      <w:keepLines w:val="0"/>
      <w:widowControl w:val="1"/>
      <w:spacing w:lineRule="auto" w:after="120"/>
      <w:contextualSpacing w:val="1"/>
    </w:pPr>
    <w:rPr>
      <w:rFonts w:cs="Palatino" w:hAnsi="Palatino" w:eastAsia="Palatino" w:ascii="Palatino"/>
      <w:sz w:val="36"/>
    </w:rPr>
  </w:style>
  <w:style w:styleId="Heading2" w:type="paragraph">
    <w:name w:val="heading 2"/>
    <w:basedOn w:val="Normal"/>
    <w:next w:val="Normal"/>
    <w:pPr>
      <w:keepNext w:val="0"/>
      <w:keepLines w:val="0"/>
      <w:widowControl w:val="1"/>
      <w:spacing w:lineRule="auto" w:before="120" w:after="160"/>
      <w:contextualSpacing w:val="1"/>
    </w:pPr>
    <w:rPr>
      <w:rFonts w:cs="Arial" w:hAnsi="Arial" w:eastAsia="Arial" w:ascii="Arial"/>
      <w:b w:val="1"/>
      <w:sz w:val="26"/>
    </w:rPr>
  </w:style>
  <w:style w:styleId="Heading3" w:type="paragraph">
    <w:name w:val="heading 3"/>
    <w:basedOn w:val="Normal"/>
    <w:next w:val="Normal"/>
    <w:pPr>
      <w:keepNext w:val="0"/>
      <w:keepLines w:val="0"/>
      <w:widowControl w:val="1"/>
      <w:spacing w:lineRule="auto" w:before="120" w:after="160"/>
      <w:contextualSpacing w:val="1"/>
    </w:pPr>
    <w:rPr>
      <w:rFonts w:cs="Arial" w:hAnsi="Arial" w:eastAsia="Arial" w:ascii="Arial"/>
      <w:b w:val="1"/>
      <w:i w:val="1"/>
      <w:color w:val="666666"/>
      <w:sz w:val="24"/>
    </w:rPr>
  </w:style>
  <w:style w:styleId="Heading4" w:type="paragraph">
    <w:name w:val="heading 4"/>
    <w:basedOn w:val="Normal"/>
    <w:next w:val="Normal"/>
    <w:pPr>
      <w:keepNext w:val="0"/>
      <w:keepLines w:val="0"/>
      <w:widowControl w:val="1"/>
      <w:spacing w:lineRule="auto" w:before="120" w:after="120"/>
      <w:contextualSpacing w:val="1"/>
    </w:pPr>
    <w:rPr>
      <w:rFonts w:cs="Palatino" w:hAnsi="Palatino" w:eastAsia="Palatino" w:ascii="Palatino"/>
      <w:b w:val="1"/>
      <w:sz w:val="24"/>
    </w:rPr>
  </w:style>
  <w:style w:styleId="Heading5" w:type="paragraph">
    <w:name w:val="heading 5"/>
    <w:basedOn w:val="Normal"/>
    <w:next w:val="Normal"/>
    <w:pPr>
      <w:keepNext w:val="0"/>
      <w:keepLines w:val="0"/>
      <w:widowControl w:val="1"/>
      <w:spacing w:lineRule="auto" w:before="120" w:after="120"/>
      <w:contextualSpacing w:val="1"/>
    </w:pPr>
    <w:rPr>
      <w:rFonts w:cs="Arial" w:hAnsi="Arial" w:eastAsia="Arial" w:ascii="Arial"/>
      <w:b w:val="1"/>
      <w:sz w:val="22"/>
    </w:rPr>
  </w:style>
  <w:style w:styleId="Heading6" w:type="paragraph">
    <w:name w:val="heading 6"/>
    <w:basedOn w:val="Normal"/>
    <w:next w:val="Normal"/>
    <w:pPr>
      <w:keepNext w:val="0"/>
      <w:keepLines w:val="0"/>
      <w:widowControl w:val="1"/>
      <w:spacing w:lineRule="auto" w:before="120" w:after="120"/>
      <w:contextualSpacing w:val="1"/>
    </w:pPr>
    <w:rPr>
      <w:rFonts w:cs="Arial" w:hAnsi="Arial" w:eastAsia="Arial" w:ascii="Arial"/>
      <w:i w:val="1"/>
      <w:color w:val="666666"/>
      <w:sz w:val="22"/>
      <w:u w:val="single"/>
    </w:rPr>
  </w:style>
  <w:style w:styleId="Title" w:type="paragraph">
    <w:name w:val="title"/>
    <w:basedOn w:val="Normal"/>
    <w:next w:val="Normal"/>
    <w:pPr>
      <w:keepNext w:val="0"/>
      <w:keepLines w:val="0"/>
      <w:widowControl w:val="1"/>
      <w:contextualSpacing w:val="1"/>
    </w:pPr>
    <w:rPr>
      <w:rFonts w:cs="Palatino" w:hAnsi="Palatino" w:eastAsia="Palatino" w:ascii="Palatino"/>
      <w:sz w:val="60"/>
    </w:rPr>
  </w:style>
  <w:style w:styleId="Subtitle" w:type="paragraph">
    <w:name w:val="subtitle"/>
    <w:basedOn w:val="Normal"/>
    <w:next w:val="Normal"/>
    <w:pPr>
      <w:keepNext w:val="0"/>
      <w:keepLines w:val="0"/>
      <w:widowControl w:val="1"/>
      <w:spacing w:lineRule="auto" w:before="60"/>
      <w:contextualSpacing w:val="1"/>
    </w:pPr>
    <w:rPr>
      <w:rFonts w:cs="Arial" w:hAnsi="Arial" w:eastAsia="Arial" w:ascii="Arial"/>
      <w:sz w:val="28"/>
    </w:rPr>
  </w:style>
  <w:style w:styleId="paragraph" w:type="paragraph">
    <w:name w:val="paragraph"/>
    <w:basedOn w:val="Normal"/>
    <w:next w:val="Normal"/>
    <w:pPr>
      <w:keepNext w:val="0"/>
      <w:keepLines w:val="0"/>
      <w:widowControl w:val="1"/>
      <w:spacing w:lineRule="auto" w:line="240"/>
      <w:contextualSpacing w:val="1"/>
    </w:pPr>
    <w:rPr/>
  </w:style>
  <w:style w:styleId="paragraph_header" w:type="paragraph">
    <w:name w:val="paragraph_header"/>
    <w:basedOn w:val="Normal"/>
    <w:next w:val="Normal"/>
    <w:pPr>
      <w:keepNext w:val="0"/>
      <w:keepLines w:val="0"/>
      <w:widowControl w:val="1"/>
      <w:spacing w:lineRule="auto" w:before="280" w:after="280" w:line="240"/>
      <w:contextualSpacing w:val="1"/>
    </w:pPr>
    <w:rPr/>
  </w:style>
  <w:style w:styleId="header" w:type="paragraph">
    <w:name w:val="header"/>
    <w:basedOn w:val="Normal"/>
    <w:next w:val="Normal"/>
    <w:pPr>
      <w:keepNext w:val="0"/>
      <w:keepLines w:val="0"/>
      <w:widowControl w:val="1"/>
      <w:spacing w:lineRule="auto" w:after="280" w:line="240"/>
      <w:contextualSpacing w:val="1"/>
      <w:jc w:val="right"/>
    </w:pPr>
    <w:rPr>
      <w:sz w:val="24"/>
    </w:rPr>
  </w:style>
  <w:style w:styleId="signed_document_paragraph" w:type="paragraph">
    <w:name w:val="signed_document_paragraph"/>
    <w:basedOn w:val="Normal"/>
    <w:next w:val="Normal"/>
    <w:pPr>
      <w:keepNext w:val="0"/>
      <w:keepLines w:val="0"/>
      <w:widowControl w:val="1"/>
      <w:contextualSpacing w:val="1"/>
      <w:jc w:val="right"/>
    </w:pPr>
    <w:rPr>
      <w:sz w:val="24"/>
    </w:rPr>
  </w:style>
  <w:style w:styleId="bold_paragraph_header" w:type="paragraph">
    <w:name w:val="bold_paragraph_header"/>
    <w:basedOn w:val="Normal"/>
    <w:next w:val="Normal"/>
    <w:pPr>
      <w:keepNext w:val="0"/>
      <w:keepLines w:val="0"/>
      <w:widowControl w:val="1"/>
      <w:spacing w:lineRule="auto" w:line="240"/>
      <w:contextualSpacing w:val="1"/>
      <w:jc w:val="center"/>
    </w:pPr>
    <w:rPr>
      <w:b w:val="1"/>
    </w:rPr>
  </w:style>
  <w:style w:styleId="DefaultTable"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1"/><Relationship Target="footer1.xml" Type="http://schemas.openxmlformats.org/officeDocument/2006/relationships/footer" Id="rId2"/><Relationship Target="footer2.xml" Type="http://schemas.openxmlformats.org/officeDocument/2006/relationships/footer" Id="rId3"/><Relationship Target="numbering.xml" Type="http://schemas.openxmlformats.org/officeDocument/2006/relationships/numbering" Id="rId4"/><Relationship Target="settings.xml" Type="http://schemas.openxmlformats.org/officeDocument/2006/relationships/settings" Id="rId5"/><Relationship Target="styles.xml" Type="http://schemas.openxmlformats.org/officeDocument/2006/relationships/styles" Id="rId6"/><Relationship Target="header1.xml" Type="http://schemas.openxmlformats.org/officeDocument/2006/relationships/header" Id="rId7"/><Relationship Target="header2.xml" Type="http://schemas.openxmlformats.org/officeDocument/2006/relationships/header" Id="rId8"/></Relationships>

</file>

<file path=docProps/app.xml><?xml version="1.0" encoding="utf-8"?>
<Properties xmlns="http://schemas.openxmlformats.org/officeDocument/2006/extended-properties" xmlns:vt="http://schemas.openxmlformats.org/officeDocument/2006/docPropsVTypes">
  <Application>Caracal</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anotācija_(ex_ante)_22-TA-2562.docx</dc:title>
</cp:coreProperties>
</file>

<file path=docProps/custom.xml><?xml version="1.0" encoding="utf-8"?>
<Properties xmlns="http://schemas.openxmlformats.org/officeDocument/2006/custom-properties" xmlns:vt="http://schemas.openxmlformats.org/officeDocument/2006/docPropsVTypes"/>
</file>